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44"/>
        <w:gridCol w:w="4645"/>
      </w:tblGrid>
      <w:tr w:rsidR="000D6A84" w:rsidRPr="001B33A4" w14:paraId="3610863D" w14:textId="77777777" w:rsidTr="006D78CA">
        <w:trPr>
          <w:cantSplit/>
        </w:trPr>
        <w:tc>
          <w:tcPr>
            <w:tcW w:w="4644" w:type="dxa"/>
          </w:tcPr>
          <w:p w14:paraId="418167B5" w14:textId="4E8D9E9E" w:rsidR="000D6A84" w:rsidRPr="001B33A4" w:rsidRDefault="001963F6" w:rsidP="001B33A4">
            <w:r>
              <w:rPr>
                <w:noProof/>
              </w:rPr>
              <w:drawing>
                <wp:inline distT="0" distB="0" distL="0" distR="0" wp14:anchorId="1AE60D40" wp14:editId="4BA686C9">
                  <wp:extent cx="1799590" cy="1558925"/>
                  <wp:effectExtent l="0" t="0" r="0" b="3175"/>
                  <wp:docPr id="3" name="Picture 3" title="CoRLogo_PL"/>
                  <wp:cNvGraphicFramePr/>
                  <a:graphic xmlns:a="http://schemas.openxmlformats.org/drawingml/2006/main">
                    <a:graphicData uri="http://schemas.openxmlformats.org/drawingml/2006/picture">
                      <pic:pic xmlns:pic="http://schemas.openxmlformats.org/drawingml/2006/picture">
                        <pic:nvPicPr>
                          <pic:cNvPr id="3" name="Picture 3" title="CoRLogo_PL"/>
                          <pic:cNvPicPr/>
                        </pic:nvPicPr>
                        <pic:blipFill>
                          <a:blip r:embed="rId12"/>
                          <a:stretch>
                            <a:fillRect/>
                          </a:stretch>
                        </pic:blipFill>
                        <pic:spPr>
                          <a:xfrm>
                            <a:off x="0" y="0"/>
                            <a:ext cx="1799590" cy="1558925"/>
                          </a:xfrm>
                          <a:prstGeom prst="rect">
                            <a:avLst/>
                          </a:prstGeom>
                        </pic:spPr>
                      </pic:pic>
                    </a:graphicData>
                  </a:graphic>
                </wp:inline>
              </w:drawing>
            </w:r>
          </w:p>
        </w:tc>
        <w:tc>
          <w:tcPr>
            <w:tcW w:w="4645" w:type="dxa"/>
          </w:tcPr>
          <w:p w14:paraId="1C7455E9" w14:textId="77777777" w:rsidR="000D6A84" w:rsidRPr="001B33A4" w:rsidRDefault="000D6A84" w:rsidP="001B33A4"/>
        </w:tc>
      </w:tr>
      <w:tr w:rsidR="00444A98" w:rsidRPr="00334D96" w14:paraId="55E48AD3" w14:textId="77777777" w:rsidTr="006D78CA">
        <w:trPr>
          <w:cantSplit/>
        </w:trPr>
        <w:tc>
          <w:tcPr>
            <w:tcW w:w="9289" w:type="dxa"/>
            <w:gridSpan w:val="2"/>
          </w:tcPr>
          <w:p w14:paraId="32FAADA6" w14:textId="500AD2AB" w:rsidR="00444A98" w:rsidRPr="00334D96" w:rsidRDefault="00F90A07" w:rsidP="003A043C">
            <w:pPr>
              <w:jc w:val="right"/>
              <w:rPr>
                <w:b/>
                <w:bCs/>
                <w:sz w:val="28"/>
              </w:rPr>
            </w:pPr>
            <w:r>
              <w:rPr>
                <w:b/>
                <w:sz w:val="28"/>
              </w:rPr>
              <w:t>NAT-VIII/019</w:t>
            </w:r>
          </w:p>
        </w:tc>
      </w:tr>
      <w:tr w:rsidR="00444A98" w:rsidRPr="00334D96" w14:paraId="38017C10" w14:textId="77777777" w:rsidTr="006D78CA">
        <w:tc>
          <w:tcPr>
            <w:tcW w:w="9289" w:type="dxa"/>
            <w:gridSpan w:val="2"/>
          </w:tcPr>
          <w:p w14:paraId="3BAEB278" w14:textId="53D3DD91" w:rsidR="00444A98" w:rsidRPr="00334D96" w:rsidRDefault="00F90A07" w:rsidP="003A043C">
            <w:pPr>
              <w:jc w:val="center"/>
              <w:rPr>
                <w:b/>
                <w:bCs/>
                <w:sz w:val="28"/>
              </w:rPr>
            </w:pPr>
            <w:r>
              <w:rPr>
                <w:b/>
                <w:sz w:val="28"/>
              </w:rPr>
              <w:t>7. posiedzenie komisji w dniu 4 lutego 2026 r.</w:t>
            </w:r>
          </w:p>
        </w:tc>
      </w:tr>
    </w:tbl>
    <w:p w14:paraId="2C013CD1" w14:textId="77777777" w:rsidR="00444A98" w:rsidRPr="00334D96" w:rsidRDefault="009A16C1" w:rsidP="003A043C">
      <w:r>
        <w:rPr>
          <w:noProof/>
        </w:rPr>
        <mc:AlternateContent>
          <mc:Choice Requires="wps">
            <w:drawing>
              <wp:anchor distT="0" distB="0" distL="114300" distR="114300" simplePos="0" relativeHeight="251656704" behindDoc="1" locked="0" layoutInCell="0" allowOverlap="1" wp14:anchorId="757470D8" wp14:editId="0F19F25A">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189D" w14:textId="77777777" w:rsidR="00444A98" w:rsidRPr="00B33430" w:rsidRDefault="00444A98">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70D8"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sz8gEAAMU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CSDgsz8gEAAMUDAAAOAAAAAAAAAAAAAAAAAC4CAABkcnMv&#10;ZTJvRG9jLnhtbFBLAQItABQABgAIAAAAIQDrVDFa3gAAAA8BAAAPAAAAAAAAAAAAAAAAAEwEAABk&#10;cnMvZG93bnJldi54bWxQSwUGAAAAAAQABADzAAAAVwUAAAAA&#10;" o:allowincell="f" filled="f" stroked="f">
                <v:textbox>
                  <w:txbxContent>
                    <w:p w14:paraId="1D4F189D" w14:textId="77777777" w:rsidR="00444A98" w:rsidRPr="00B33430" w:rsidRDefault="00444A98">
                      <w:pPr>
                        <w:jc w:val="center"/>
                        <w:rPr>
                          <w:rFonts w:ascii="Arial" w:hAnsi="Arial" w:cs="Arial"/>
                          <w:b/>
                          <w:bCs/>
                          <w:sz w:val="48"/>
                        </w:rPr>
                      </w:pPr>
                      <w:r>
                        <w:rPr>
                          <w:rFonts w:ascii="Arial" w:hAnsi="Arial"/>
                          <w:b/>
                          <w:sz w:val="48"/>
                        </w:rPr>
                        <w:t>PL</w:t>
                      </w:r>
                    </w:p>
                  </w:txbxContent>
                </v:textbox>
                <w10:wrap anchorx="page" anchory="page"/>
              </v:shape>
            </w:pict>
          </mc:Fallback>
        </mc:AlternateContent>
      </w:r>
    </w:p>
    <w:p w14:paraId="4686F0F2" w14:textId="77777777" w:rsidR="00444A98" w:rsidRPr="00334D96" w:rsidRDefault="00444A98" w:rsidP="003A043C"/>
    <w:p w14:paraId="41D657A5" w14:textId="77777777" w:rsidR="001B33A4" w:rsidRDefault="00444A98" w:rsidP="003A043C">
      <w:pPr>
        <w:jc w:val="center"/>
        <w:rPr>
          <w:b/>
          <w:bCs/>
          <w:sz w:val="28"/>
        </w:rPr>
      </w:pPr>
      <w:r>
        <w:rPr>
          <w:b/>
          <w:sz w:val="28"/>
        </w:rPr>
        <w:t>PROJEKT OPINII</w:t>
      </w:r>
    </w:p>
    <w:p w14:paraId="56ED25B7" w14:textId="77777777" w:rsidR="001B33A4" w:rsidRPr="006D78CA" w:rsidRDefault="001B33A4" w:rsidP="006D78CA"/>
    <w:p w14:paraId="62CCAFFA" w14:textId="0A0FA99E" w:rsidR="001B33A4" w:rsidRDefault="00444A98" w:rsidP="003A043C">
      <w:pPr>
        <w:jc w:val="center"/>
        <w:rPr>
          <w:b/>
          <w:bCs/>
          <w:sz w:val="28"/>
        </w:rPr>
      </w:pPr>
      <w:r>
        <w:rPr>
          <w:b/>
          <w:sz w:val="28"/>
        </w:rPr>
        <w:t>Komisja Zasobów Naturalnych (NAT)</w:t>
      </w:r>
    </w:p>
    <w:p w14:paraId="6187E322" w14:textId="77777777" w:rsidR="001B33A4" w:rsidRPr="006D78CA" w:rsidRDefault="001B33A4" w:rsidP="006D78CA"/>
    <w:p w14:paraId="35217CF9" w14:textId="5391438C" w:rsidR="00444A98" w:rsidRPr="009A6E15" w:rsidRDefault="00F90A07" w:rsidP="003A043C">
      <w:pPr>
        <w:jc w:val="center"/>
        <w:rPr>
          <w:sz w:val="28"/>
          <w:szCs w:val="28"/>
        </w:rPr>
      </w:pPr>
      <w:r>
        <w:rPr>
          <w:b/>
          <w:sz w:val="28"/>
        </w:rPr>
        <w:t>Przyszłość rozwoju obszarów wiejskich po roku 2028</w:t>
      </w:r>
    </w:p>
    <w:p w14:paraId="60C42C54" w14:textId="77777777" w:rsidR="00444A98" w:rsidRPr="00334D96" w:rsidRDefault="00444A98" w:rsidP="003A043C">
      <w:pPr>
        <w:jc w:val="left"/>
      </w:pPr>
    </w:p>
    <w:p w14:paraId="60E5847B" w14:textId="77777777" w:rsidR="00444A98" w:rsidRPr="00334D96" w:rsidRDefault="00444A98" w:rsidP="003A043C"/>
    <w:tbl>
      <w:tblPr>
        <w:tblW w:w="5000" w:type="pct"/>
        <w:tblLook w:val="0000" w:firstRow="0" w:lastRow="0" w:firstColumn="0" w:lastColumn="0" w:noHBand="0" w:noVBand="0"/>
      </w:tblPr>
      <w:tblGrid>
        <w:gridCol w:w="9073"/>
      </w:tblGrid>
      <w:tr w:rsidR="00444A98" w:rsidRPr="00F90A07" w14:paraId="5ECE4120" w14:textId="77777777" w:rsidTr="006D78CA">
        <w:tc>
          <w:tcPr>
            <w:tcW w:w="5000" w:type="pct"/>
          </w:tcPr>
          <w:p w14:paraId="60184716" w14:textId="77777777" w:rsidR="00444A98" w:rsidRPr="00F90A07" w:rsidRDefault="00444A98" w:rsidP="003A043C">
            <w:pPr>
              <w:jc w:val="center"/>
            </w:pPr>
            <w:r>
              <w:t>_____________</w:t>
            </w:r>
          </w:p>
          <w:p w14:paraId="1E6C001E" w14:textId="77777777" w:rsidR="00444A98" w:rsidRPr="00F90A07" w:rsidRDefault="00444A98" w:rsidP="003A043C">
            <w:pPr>
              <w:jc w:val="center"/>
              <w:rPr>
                <w:lang w:val="fr-BE"/>
              </w:rPr>
            </w:pPr>
          </w:p>
          <w:p w14:paraId="304D52AB" w14:textId="1C8B9527" w:rsidR="00444A98" w:rsidRDefault="00444A98" w:rsidP="003A043C">
            <w:pPr>
              <w:jc w:val="center"/>
            </w:pPr>
            <w:r>
              <w:t xml:space="preserve">Sprawozdawca: </w:t>
            </w:r>
            <w:proofErr w:type="spellStart"/>
            <w:r>
              <w:rPr>
                <w:b/>
              </w:rPr>
              <w:t>Radim</w:t>
            </w:r>
            <w:proofErr w:type="spellEnd"/>
            <w:r>
              <w:rPr>
                <w:b/>
              </w:rPr>
              <w:t xml:space="preserve"> SRŠEŇ (CS/EPL),</w:t>
            </w:r>
            <w:r>
              <w:t xml:space="preserve"> </w:t>
            </w:r>
          </w:p>
          <w:p w14:paraId="7B740ECF" w14:textId="7E234D2D" w:rsidR="00F90A07" w:rsidRPr="00F90A07" w:rsidRDefault="00F90A07" w:rsidP="003A043C">
            <w:pPr>
              <w:jc w:val="center"/>
            </w:pPr>
            <w:r>
              <w:t xml:space="preserve">burmistrz gminy </w:t>
            </w:r>
            <w:proofErr w:type="spellStart"/>
            <w:r>
              <w:t>Dolní</w:t>
            </w:r>
            <w:proofErr w:type="spellEnd"/>
            <w:r>
              <w:t xml:space="preserve"> </w:t>
            </w:r>
            <w:proofErr w:type="spellStart"/>
            <w:r>
              <w:t>Studénky</w:t>
            </w:r>
            <w:proofErr w:type="spellEnd"/>
          </w:p>
          <w:p w14:paraId="424628DD" w14:textId="77777777" w:rsidR="00F90A07" w:rsidRPr="00F90A07" w:rsidRDefault="00F90A07" w:rsidP="003A043C">
            <w:pPr>
              <w:jc w:val="center"/>
              <w:rPr>
                <w:b/>
                <w:bCs/>
                <w:lang w:val="en-US"/>
              </w:rPr>
            </w:pPr>
          </w:p>
          <w:p w14:paraId="216946CF" w14:textId="77777777" w:rsidR="00444A98" w:rsidRPr="00F90A07" w:rsidRDefault="00444A98" w:rsidP="00583866">
            <w:pPr>
              <w:jc w:val="center"/>
            </w:pPr>
            <w:r>
              <w:t>_____________</w:t>
            </w:r>
          </w:p>
        </w:tc>
      </w:tr>
    </w:tbl>
    <w:p w14:paraId="29A53EDF" w14:textId="77777777" w:rsidR="00444A98" w:rsidRPr="00F90A07" w:rsidRDefault="00444A98" w:rsidP="003A043C">
      <w:pPr>
        <w:jc w:val="left"/>
        <w:rPr>
          <w:lang w:val="fr-BE"/>
        </w:rPr>
      </w:pPr>
    </w:p>
    <w:p w14:paraId="4369A71C" w14:textId="77777777" w:rsidR="00444A98" w:rsidRPr="00F90A07" w:rsidRDefault="00444A98" w:rsidP="003A043C">
      <w:pPr>
        <w:jc w:val="left"/>
        <w:rPr>
          <w:lang w:val="fr-BE"/>
        </w:rPr>
      </w:pPr>
    </w:p>
    <w:p w14:paraId="473CBC8E" w14:textId="77777777" w:rsidR="00444A98" w:rsidRPr="00F90A07" w:rsidRDefault="00444A98" w:rsidP="003A043C">
      <w:pPr>
        <w:jc w:val="left"/>
        <w:rPr>
          <w:lang w:val="fr-BE"/>
        </w:rPr>
      </w:pPr>
    </w:p>
    <w:p w14:paraId="001A7632" w14:textId="77777777" w:rsidR="00444A98" w:rsidRPr="00F90A07" w:rsidRDefault="00444A98" w:rsidP="003A043C">
      <w:pPr>
        <w:jc w:val="left"/>
        <w:rPr>
          <w:lang w:val="fr-BE"/>
        </w:rPr>
      </w:pPr>
    </w:p>
    <w:p w14:paraId="12351124" w14:textId="77777777" w:rsidR="00444A98" w:rsidRPr="00F90A07" w:rsidRDefault="00444A98" w:rsidP="003A043C">
      <w:pPr>
        <w:jc w:val="left"/>
        <w:rPr>
          <w:lang w:val="fr-BE"/>
        </w:rPr>
      </w:pPr>
    </w:p>
    <w:p w14:paraId="18DF55AB" w14:textId="77777777" w:rsidR="00444A98" w:rsidRPr="00F90A07" w:rsidRDefault="00444A98" w:rsidP="003A043C">
      <w:pPr>
        <w:jc w:val="left"/>
        <w:rPr>
          <w:lang w:val="fr-BE"/>
        </w:rPr>
      </w:pPr>
    </w:p>
    <w:p w14:paraId="4AE63CD2" w14:textId="77777777" w:rsidR="00444A98" w:rsidRPr="00F90A07" w:rsidRDefault="00444A98" w:rsidP="003A043C">
      <w:pPr>
        <w:jc w:val="left"/>
        <w:rPr>
          <w:lang w:val="fr-BE"/>
        </w:rPr>
      </w:pPr>
    </w:p>
    <w:p w14:paraId="7DB81D0F" w14:textId="127F413F" w:rsidR="00444A98" w:rsidRPr="00F90A07" w:rsidRDefault="007F1C14" w:rsidP="003A043C">
      <w:pPr>
        <w:jc w:val="left"/>
      </w:pPr>
      <w:r>
        <w:rPr>
          <w:noProof/>
        </w:rPr>
        <w:drawing>
          <wp:anchor distT="0" distB="0" distL="114300" distR="114300" simplePos="0" relativeHeight="251660800" behindDoc="0" locked="0" layoutInCell="1" allowOverlap="1" wp14:anchorId="71731F1D" wp14:editId="35A98456">
            <wp:simplePos x="0" y="0"/>
            <wp:positionH relativeFrom="column">
              <wp:posOffset>-10795</wp:posOffset>
            </wp:positionH>
            <wp:positionV relativeFrom="page">
              <wp:posOffset>10198100</wp:posOffset>
            </wp:positionV>
            <wp:extent cx="5759450" cy="272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14:paraId="1B3FB386" w14:textId="77777777" w:rsidR="00444A98" w:rsidRPr="00F90A07" w:rsidRDefault="00444A98" w:rsidP="003A043C">
      <w:pPr>
        <w:jc w:val="left"/>
        <w:rPr>
          <w:lang w:val="fr-B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9"/>
      </w:tblGrid>
      <w:tr w:rsidR="00444A98" w:rsidRPr="00334D96" w14:paraId="50179DB3" w14:textId="77777777" w:rsidTr="006D78CA">
        <w:tc>
          <w:tcPr>
            <w:tcW w:w="9289" w:type="dxa"/>
            <w:tcBorders>
              <w:top w:val="single" w:sz="4" w:space="0" w:color="auto"/>
              <w:bottom w:val="single" w:sz="4" w:space="0" w:color="auto"/>
            </w:tcBorders>
          </w:tcPr>
          <w:p w14:paraId="75D6E4E2" w14:textId="3AC5782E" w:rsidR="00444A98" w:rsidRPr="00334D96" w:rsidRDefault="00444A98" w:rsidP="00DE664B">
            <w:pPr>
              <w:rPr>
                <w:bCs/>
                <w:iCs/>
                <w:color w:val="000000"/>
              </w:rPr>
            </w:pPr>
            <w:r>
              <w:rPr>
                <w:color w:val="000000"/>
              </w:rPr>
              <w:t xml:space="preserve">Niniejszy dokument będzie omawiany na posiedzeniu </w:t>
            </w:r>
            <w:r>
              <w:rPr>
                <w:b/>
                <w:color w:val="000000"/>
              </w:rPr>
              <w:t>Komisji Zasobów Naturalnych</w:t>
            </w:r>
            <w:r>
              <w:rPr>
                <w:color w:val="000000"/>
              </w:rPr>
              <w:t xml:space="preserve">, które odbędzie się </w:t>
            </w:r>
            <w:r>
              <w:rPr>
                <w:b/>
                <w:color w:val="000000"/>
              </w:rPr>
              <w:t>w dniu 4 lutego 2026 r. w godz. 11.00–18.00</w:t>
            </w:r>
            <w:r>
              <w:rPr>
                <w:color w:val="000000"/>
              </w:rPr>
              <w:t xml:space="preserve">. W celu umożliwienia terminowego tłumaczenia wszelkie poprawki należy przekazać </w:t>
            </w:r>
            <w:r>
              <w:t xml:space="preserve">za pomocą elektronicznego systemu zgłaszania poprawek (dostępnego w internetowym portalu członków pod adresem: </w:t>
            </w:r>
            <w:hyperlink r:id="rId14" w:history="1">
              <w:r>
                <w:rPr>
                  <w:rStyle w:val="Hyperlink"/>
                </w:rPr>
                <w:t>https://memportal.cor.europa.eu/</w:t>
              </w:r>
            </w:hyperlink>
            <w:r>
              <w:t xml:space="preserve">) </w:t>
            </w:r>
            <w:r>
              <w:rPr>
                <w:b/>
              </w:rPr>
              <w:t>najpóźniej w czwartek, 22 stycznia 2026 r., do godz. 15.00 (czasu brukselskiego)</w:t>
            </w:r>
            <w:r>
              <w:t>.</w:t>
            </w:r>
            <w:r>
              <w:rPr>
                <w:b/>
              </w:rPr>
              <w:t xml:space="preserve"> </w:t>
            </w:r>
            <w:r>
              <w:t xml:space="preserve">Na stronie </w:t>
            </w:r>
            <w:hyperlink r:id="rId15" w:history="1">
              <w:r>
                <w:rPr>
                  <w:rStyle w:val="Hyperlink"/>
                </w:rPr>
                <w:t>https://memportal.cor.europa.eu/</w:t>
              </w:r>
            </w:hyperlink>
            <w:r>
              <w:t xml:space="preserve"> dostępny jest także podręcznik użytkownika.</w:t>
            </w:r>
          </w:p>
        </w:tc>
      </w:tr>
    </w:tbl>
    <w:p w14:paraId="08135D7A" w14:textId="77777777" w:rsidR="00D803FB" w:rsidRDefault="00D803FB" w:rsidP="000D6A84">
      <w:pPr>
        <w:sectPr w:rsidR="00D803FB" w:rsidSect="00D14A06">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CE6E4E" w:rsidRPr="00334D96" w14:paraId="507CE281" w14:textId="77777777" w:rsidTr="00493AFA">
        <w:trPr>
          <w:trHeight w:val="12474"/>
        </w:trPr>
        <w:tc>
          <w:tcPr>
            <w:tcW w:w="9289" w:type="dxa"/>
            <w:vAlign w:val="bottom"/>
          </w:tcPr>
          <w:p w14:paraId="3F0B5969" w14:textId="77777777" w:rsidR="00CE6E4E" w:rsidRPr="0022340D" w:rsidRDefault="00CE6E4E" w:rsidP="00493AFA">
            <w:pPr>
              <w:rPr>
                <w:b/>
                <w:bCs/>
              </w:rPr>
            </w:pPr>
            <w:r>
              <w:rPr>
                <w:b/>
              </w:rPr>
              <w:lastRenderedPageBreak/>
              <w:t>Dokumenty źródłowe:</w:t>
            </w:r>
          </w:p>
          <w:p w14:paraId="3171F6C0" w14:textId="77777777" w:rsidR="00CE6E4E" w:rsidRDefault="00CE6E4E" w:rsidP="00493AFA"/>
          <w:p w14:paraId="7C13E2E9" w14:textId="5C10789E" w:rsidR="00CE6E4E" w:rsidRPr="00334D96" w:rsidRDefault="00CE6E4E" w:rsidP="00493AFA">
            <w:r>
              <w:t>–</w:t>
            </w:r>
          </w:p>
          <w:p w14:paraId="21F50992" w14:textId="77777777" w:rsidR="00CE6E4E" w:rsidRPr="00334D96" w:rsidRDefault="00CE6E4E" w:rsidP="00493AFA"/>
        </w:tc>
      </w:tr>
    </w:tbl>
    <w:p w14:paraId="20B40F35" w14:textId="77777777" w:rsidR="007F1C14" w:rsidRDefault="00444A98" w:rsidP="003A043C">
      <w:pPr>
        <w:jc w:val="center"/>
        <w:rPr>
          <w:b/>
        </w:rPr>
      </w:pPr>
      <w:r>
        <w:br w:type="page"/>
      </w:r>
      <w:r>
        <w:rPr>
          <w:b/>
        </w:rPr>
        <w:lastRenderedPageBreak/>
        <w:t>Projekt opinii Komisji Zasobów Naturalnych –</w:t>
      </w:r>
    </w:p>
    <w:p w14:paraId="184C0E07" w14:textId="5CEB8B42" w:rsidR="00444A98" w:rsidRDefault="00DC0FF3" w:rsidP="003A043C">
      <w:pPr>
        <w:jc w:val="center"/>
        <w:rPr>
          <w:b/>
        </w:rPr>
      </w:pPr>
      <w:r>
        <w:rPr>
          <w:b/>
        </w:rPr>
        <w:t>Przyszłość rozwoju obszarów wiejskich po roku 2028</w:t>
      </w:r>
    </w:p>
    <w:p w14:paraId="793A872B" w14:textId="77777777" w:rsidR="00DE0853" w:rsidRDefault="00DE0853" w:rsidP="003A043C">
      <w:pPr>
        <w:jc w:val="center"/>
        <w:rPr>
          <w:b/>
        </w:rPr>
      </w:pPr>
    </w:p>
    <w:p w14:paraId="59CE676E" w14:textId="77777777" w:rsidR="007F11EC" w:rsidRPr="00334D96" w:rsidRDefault="007F11EC" w:rsidP="007F11EC">
      <w:pPr>
        <w:numPr>
          <w:ilvl w:val="0"/>
          <w:numId w:val="13"/>
        </w:numPr>
        <w:ind w:left="567" w:hanging="567"/>
        <w:rPr>
          <w:b/>
        </w:rPr>
      </w:pPr>
      <w:r>
        <w:rPr>
          <w:b/>
        </w:rPr>
        <w:t>ZALECENIA POLITYCZNE</w:t>
      </w:r>
    </w:p>
    <w:p w14:paraId="5E62DF12" w14:textId="77777777" w:rsidR="007F11EC" w:rsidRPr="00334D96" w:rsidRDefault="007F11EC" w:rsidP="007F11EC"/>
    <w:p w14:paraId="720BD789" w14:textId="3F05FA92" w:rsidR="00DE0853" w:rsidRPr="00334D96" w:rsidRDefault="007F11EC" w:rsidP="007F11EC">
      <w:r>
        <w:t>EUROPEJSKI KOMITET REGIONÓW (KR)</w:t>
      </w:r>
    </w:p>
    <w:p w14:paraId="38C2DA24" w14:textId="77777777" w:rsidR="00444A98" w:rsidRDefault="00444A98" w:rsidP="000D21B4"/>
    <w:p w14:paraId="571891B8" w14:textId="6FF9A666" w:rsidR="004931B1" w:rsidRDefault="004931B1" w:rsidP="000D21B4">
      <w:pPr>
        <w:rPr>
          <w:b/>
          <w:bCs/>
          <w:i/>
          <w:iCs/>
          <w:szCs w:val="22"/>
        </w:rPr>
      </w:pPr>
      <w:r>
        <w:rPr>
          <w:b/>
          <w:i/>
        </w:rPr>
        <w:t>Kontekst i uzasadnienie</w:t>
      </w:r>
    </w:p>
    <w:p w14:paraId="10C168AE" w14:textId="77777777" w:rsidR="002A4F85" w:rsidRPr="007F11EC" w:rsidRDefault="002A4F85" w:rsidP="000D21B4">
      <w:pPr>
        <w:rPr>
          <w:b/>
          <w:bCs/>
          <w:i/>
          <w:iCs/>
          <w:szCs w:val="22"/>
        </w:rPr>
      </w:pPr>
    </w:p>
    <w:p w14:paraId="1FE444CA" w14:textId="67663A90" w:rsidR="009F407E" w:rsidRDefault="004B0543" w:rsidP="007F11EC">
      <w:pPr>
        <w:pStyle w:val="Heading1"/>
        <w:ind w:left="567" w:hanging="567"/>
      </w:pPr>
      <w:r>
        <w:t>Zwraca uwagę, że długoterminowa wizja dla obszarów wiejskich i pakt na rzecz obszarów wiejskich zostały ustanowione w celu rozwiązania problemu utrzymujących się dysproporcji terytorialnych, wyzwań demograficznych (w tym starzenia się społeczeństwa i migracji wewnętrznej) oraz nierównego dostępu do usług, mających wpływ na obszary wiejskie. Działania te są zgodne z art. 174 TFUE.</w:t>
      </w:r>
    </w:p>
    <w:p w14:paraId="7056FF58" w14:textId="77777777" w:rsidR="007F11EC" w:rsidRPr="007F11EC" w:rsidRDefault="007F11EC" w:rsidP="007F11EC">
      <w:pPr>
        <w:ind w:left="567" w:hanging="567"/>
      </w:pPr>
    </w:p>
    <w:p w14:paraId="132FB45B" w14:textId="27AB2BAE" w:rsidR="009F407E" w:rsidRDefault="002B486F" w:rsidP="007F11EC">
      <w:pPr>
        <w:pStyle w:val="Heading1"/>
        <w:ind w:left="567" w:hanging="567"/>
      </w:pPr>
      <w:r>
        <w:t>Odnotowuje, że w ostatnich latach wzrosło polityczne uznanie wyzwań na obszarach wiejskich i</w:t>
      </w:r>
      <w:r w:rsidR="000D21B4">
        <w:t> </w:t>
      </w:r>
      <w:r>
        <w:t>tzw. prawa do pozostania, ale uważa, że uznaniu temu nie towarzyszy jeszcze spójne, widoczne i odpowiednio finansowane podejście w ramach struktury polityki w kontekście wieloletnich ram finansowych (WRF) na lata 2028–2034.</w:t>
      </w:r>
    </w:p>
    <w:p w14:paraId="04CCA1CE" w14:textId="77777777" w:rsidR="007F11EC" w:rsidRPr="007F11EC" w:rsidRDefault="007F11EC" w:rsidP="007F11EC">
      <w:pPr>
        <w:ind w:left="567" w:hanging="567"/>
      </w:pPr>
    </w:p>
    <w:p w14:paraId="2826B8AA" w14:textId="57A46A7B" w:rsidR="009F407E" w:rsidRDefault="002B486F" w:rsidP="007F11EC">
      <w:pPr>
        <w:pStyle w:val="Heading1"/>
        <w:ind w:left="567" w:hanging="567"/>
      </w:pPr>
      <w:r>
        <w:t>Podkreśla, że prawie 30 % obywateli UE mieszka na obszarach wiejskich, a obszary wiejskie zajmują około 80 % powierzchni UE. Ostrzega, że utrzymujące się niedoinwestowanie na obszarach wiejskich i w społecznościach wiejskich może doprowadzić do osłabienia spójności gospodarczej, społecznej i terytorialnej, nadszarpnięcia zaufania demokratycznego, podważenia prawa do pozostania oraz pogorszenia długoterminowej konkurencyjności UE, głównie z</w:t>
      </w:r>
      <w:r w:rsidR="000D21B4">
        <w:t> </w:t>
      </w:r>
      <w:r>
        <w:t>powodu zwiększonej migracji wewnętrznej młodzieży i przerwania wymiany pokoleń na obszarach wiejskich.</w:t>
      </w:r>
    </w:p>
    <w:p w14:paraId="21D2EF2D" w14:textId="77777777" w:rsidR="007F11EC" w:rsidRPr="007F11EC" w:rsidRDefault="007F11EC" w:rsidP="007F11EC"/>
    <w:p w14:paraId="70870EAC" w14:textId="28B961C6" w:rsidR="009F407E" w:rsidRDefault="00435FB7" w:rsidP="007F11EC">
      <w:pPr>
        <w:pStyle w:val="Heading1"/>
        <w:ind w:left="567" w:hanging="567"/>
      </w:pPr>
      <w:r>
        <w:t>Zwraca uwagę, że po częściowym włączeniu do wspólnej polityki rolnej (WPR) jako drugiego filaru (filar II) w ramach Agendy 2000 polityka rozwoju obszarów wiejskich posiada obecnie stabilne ramy prawne i finansowe za pośrednictwem Europejskiego Funduszu Rolnego na rzecz Rozwoju Obszarów Wiejskich (EFRROW). Dąży się tym samym do pogodzenia sektorowych celów rolnych z szerszymi terytorialnymi celami rozwoju obszarów wiejskich.</w:t>
      </w:r>
    </w:p>
    <w:p w14:paraId="6F15D8AF" w14:textId="77777777" w:rsidR="007F11EC" w:rsidRPr="007F11EC" w:rsidRDefault="007F11EC" w:rsidP="007F11EC">
      <w:pPr>
        <w:ind w:left="567" w:hanging="567"/>
      </w:pPr>
    </w:p>
    <w:p w14:paraId="084AD02D" w14:textId="3CCFC657" w:rsidR="009F407E" w:rsidRDefault="002B486F" w:rsidP="007F11EC">
      <w:pPr>
        <w:pStyle w:val="Heading1"/>
        <w:ind w:left="567" w:hanging="567"/>
      </w:pPr>
      <w:r>
        <w:t>Zauważa, że od 2007 r. rozwój obszarów wiejskich, w tym program LEADER, był w pełni włączony do drugiego filaru WPR. Odnotowuje, że chociaż zwiększyło to zasięg, stabilność i</w:t>
      </w:r>
      <w:r w:rsidR="000D21B4">
        <w:t> </w:t>
      </w:r>
      <w:r>
        <w:t>uznanie instytucjonalne, to również przyniosło strukturalne skutki uboczne, w szczególności z</w:t>
      </w:r>
      <w:r w:rsidR="000D21B4">
        <w:t> </w:t>
      </w:r>
      <w:r>
        <w:t>powodu większej centralizacji wymogów dotyczących programowania, kontroli i wyników, co zmniejszyło autonomię, elastyczność i zdolności innowacyjne inicjatyw na rzecz rozwoju lokalnego kierowanego przez społeczność.</w:t>
      </w:r>
    </w:p>
    <w:p w14:paraId="43715303" w14:textId="77777777" w:rsidR="007F11EC" w:rsidRPr="007F11EC" w:rsidRDefault="007F11EC" w:rsidP="007F11EC">
      <w:pPr>
        <w:ind w:left="567" w:hanging="567"/>
      </w:pPr>
    </w:p>
    <w:p w14:paraId="39211335" w14:textId="445F76CD" w:rsidR="009F407E" w:rsidRDefault="00B06467" w:rsidP="007F11EC">
      <w:pPr>
        <w:pStyle w:val="Heading1"/>
        <w:ind w:left="567" w:hanging="567"/>
      </w:pPr>
      <w:r>
        <w:t xml:space="preserve">Zwraca uwagę, że chociaż rolnictwo i obszary wiejskie są ze sobą nierozerwalnie powiązane, rozwój obszarów wiejskich wykracza daleko poza sektor rolny. Podkreśla, że włączenie terytorialnego wsparcia rozwoju obszarów wiejskich do polityki rolnej w ramach WPR pogłębiło brak równowagi między interesami sektorowymi i terytorialnymi, oraz zauważa, że </w:t>
      </w:r>
      <w:r>
        <w:lastRenderedPageBreak/>
        <w:t>interesy rolne, z natury bardziej skoncentrowane i politycznie widoczne, zdominowały ustalanie priorytetów i przydział zasobów.</w:t>
      </w:r>
    </w:p>
    <w:p w14:paraId="7579CD04" w14:textId="77777777" w:rsidR="007F11EC" w:rsidRPr="007F11EC" w:rsidRDefault="007F11EC" w:rsidP="007F11EC"/>
    <w:p w14:paraId="44EAAF52" w14:textId="22041D42" w:rsidR="009F407E" w:rsidRDefault="002B486F" w:rsidP="007F11EC">
      <w:pPr>
        <w:pStyle w:val="Heading1"/>
        <w:ind w:left="567" w:hanging="567"/>
      </w:pPr>
      <w:r>
        <w:t>Zauważa, że chociaż prawie 90 % mieszkańców regionów z przewagą obszarów wiejskich pracuje poza rolnictwem, większość wydatków EFRROW nadal wspierała rolnictwo lub środki związane z rolnictwem (w przeszłości ponad 50 % środków przeznaczano na rolnictwo), podczas gdy inwestycje w rozwój obszarów wiejskich poza rolnictwem pozostały stosunkowo ograniczone (mniej niż 10 % przeznaczono na inicjatywy na rzecz obszarów wiejskich wyraźnie wykraczające poza rolnictwo), co potwierdzono w badaniu Komisji Europejskiej z 2024 r. dotyczącym finansowania obszarów wiejskich UE</w:t>
      </w:r>
      <w:r w:rsidR="00637F97">
        <w:rPr>
          <w:rStyle w:val="FootnoteReference"/>
        </w:rPr>
        <w:footnoteReference w:id="1"/>
      </w:r>
      <w:r>
        <w:t>.</w:t>
      </w:r>
    </w:p>
    <w:p w14:paraId="3AD8AB94" w14:textId="77777777" w:rsidR="007F11EC" w:rsidRPr="007F11EC" w:rsidRDefault="007F11EC" w:rsidP="007F11EC"/>
    <w:p w14:paraId="7A54B92C" w14:textId="453C21F1" w:rsidR="009F407E" w:rsidRDefault="002B486F" w:rsidP="007F11EC">
      <w:pPr>
        <w:pStyle w:val="Heading1"/>
        <w:ind w:left="567" w:hanging="567"/>
      </w:pPr>
      <w:r>
        <w:t>Uważa, że w rezultacie interesy terytorialne obszarów wiejskich stopniowo traciły widoczność i</w:t>
      </w:r>
      <w:r w:rsidR="000D21B4">
        <w:t> </w:t>
      </w:r>
      <w:r>
        <w:t>wpływ oraz były w coraz większym stopniu postrzegane oddzielnie w ramach WPR zamiast w</w:t>
      </w:r>
      <w:r w:rsidR="000D21B4">
        <w:t> </w:t>
      </w:r>
      <w:r>
        <w:t>kontekście szerszego programu spójności terytorialnej.</w:t>
      </w:r>
    </w:p>
    <w:p w14:paraId="33CFA288" w14:textId="77777777" w:rsidR="007F11EC" w:rsidRPr="007F11EC" w:rsidRDefault="007F11EC" w:rsidP="007F11EC"/>
    <w:p w14:paraId="1F50CBC4" w14:textId="202E087D" w:rsidR="009F407E" w:rsidRDefault="002B486F" w:rsidP="007F11EC">
      <w:pPr>
        <w:pStyle w:val="Heading1"/>
        <w:ind w:left="567" w:hanging="567"/>
      </w:pPr>
      <w:r>
        <w:t>Stwierdza, że polityka regionalna i polityka spójności stopniowo przeniosły swoje strategiczne ukierunkowanie na obszary miejskie, wzmacniając modele rozwoju ukierunkowane na wzrost, i</w:t>
      </w:r>
      <w:r w:rsidR="000D21B4">
        <w:t> </w:t>
      </w:r>
      <w:r>
        <w:t>zauważa, że coraz trudniej jest ocenić rzeczywisty wkład polityki spójności w rozwój obszarów wiejskich, zwłaszcza ze względu na brak systematycznego znakowania terytorialnego: według badania Komisji Europejskiej z 2024 r. około 79 % wydatków w ramach polityki spójności jest obecnie niemożliwych do prześledzenia pod względem terytorialnym.</w:t>
      </w:r>
    </w:p>
    <w:p w14:paraId="416F3CB1" w14:textId="77777777" w:rsidR="002A4F85" w:rsidRPr="002A4F85" w:rsidRDefault="002A4F85" w:rsidP="000D21B4"/>
    <w:p w14:paraId="02E37D83" w14:textId="6C52B12D" w:rsidR="007F11EC" w:rsidRDefault="00950560" w:rsidP="000D21B4">
      <w:pPr>
        <w:rPr>
          <w:b/>
          <w:bCs/>
          <w:i/>
          <w:iCs/>
          <w:szCs w:val="22"/>
        </w:rPr>
      </w:pPr>
      <w:r>
        <w:rPr>
          <w:b/>
          <w:i/>
        </w:rPr>
        <w:t>Rozwój obszarów wiejskich jako główny cel polityki spójności</w:t>
      </w:r>
    </w:p>
    <w:p w14:paraId="115F73FD" w14:textId="77777777" w:rsidR="002A4F85" w:rsidRPr="007F11EC" w:rsidRDefault="002A4F85" w:rsidP="000D21B4">
      <w:pPr>
        <w:rPr>
          <w:b/>
          <w:bCs/>
          <w:i/>
          <w:iCs/>
          <w:szCs w:val="22"/>
        </w:rPr>
      </w:pPr>
    </w:p>
    <w:p w14:paraId="2A81DB97" w14:textId="5ADE6D70" w:rsidR="008B1FA1" w:rsidRDefault="002B486F" w:rsidP="007F11EC">
      <w:pPr>
        <w:pStyle w:val="Heading1"/>
        <w:ind w:left="567" w:hanging="567"/>
      </w:pPr>
      <w:r>
        <w:t>Z zadowoleniem przyjmuje proponowany jednolity fundusz i zintegrowane podejście w WRF na okres po 2027 r. i uważa, że ramy te mogą przynieść korzyści obszarom wiejskim, pod warunkiem że stosowane będą solidne mechanizmy weryfikacji wpływu polityki na rozwój obszarów wiejskich oraz zabezpieczenia finansowania.</w:t>
      </w:r>
    </w:p>
    <w:p w14:paraId="14D85708" w14:textId="77777777" w:rsidR="007F11EC" w:rsidRPr="007F11EC" w:rsidRDefault="007F11EC" w:rsidP="007F11EC"/>
    <w:p w14:paraId="4F4C96BC" w14:textId="796B4144" w:rsidR="00987ACE" w:rsidRDefault="002B486F" w:rsidP="007F11EC">
      <w:pPr>
        <w:pStyle w:val="Heading1"/>
        <w:ind w:left="567" w:hanging="567"/>
      </w:pPr>
      <w:r>
        <w:t>Podkreśla, że obszary wiejskie odgrywają strategiczną rolę w realizacji kluczowych priorytetów Unii, zwłaszcza w obszarze działań w dziedzinie klimatu, ochrony środowiska, energii ze źródeł odnawialnych, systemów żywnościowych i odporności terytorialnej. Priorytetów tych nie można osiągnąć bez ukierunkowanych i skoordynowanych inwestycji terytorialnych.</w:t>
      </w:r>
    </w:p>
    <w:p w14:paraId="092B0A2F" w14:textId="77777777" w:rsidR="007F11EC" w:rsidRPr="007F11EC" w:rsidRDefault="007F11EC" w:rsidP="007F11EC"/>
    <w:p w14:paraId="40A6B63E" w14:textId="2ACB9A4E" w:rsidR="00E22B12" w:rsidRDefault="002B486F" w:rsidP="007F11EC">
      <w:pPr>
        <w:pStyle w:val="Heading1"/>
        <w:ind w:left="567" w:hanging="567"/>
      </w:pPr>
      <w:r>
        <w:t>Zaznacza, że rozwój obszarów wiejskich należy uznać i traktować jako główny cel polityki spójności, i uważa, że celów rozwoju obszarów wiejskich nie należy włączać do sektorowego wsparcia dla rolnictwa, zwłaszcza gdy takie powiązanie mogłoby służyć przede wszystkim zabezpieczeniu finansowania rolnictwa, a nie zaspokajaniu szerszych potrzeb terytorialnych.</w:t>
      </w:r>
    </w:p>
    <w:p w14:paraId="51BCAFB8" w14:textId="77777777" w:rsidR="007F11EC" w:rsidRPr="007F11EC" w:rsidRDefault="007F11EC" w:rsidP="007F11EC"/>
    <w:p w14:paraId="3025D518" w14:textId="6A4D417E" w:rsidR="00E22B12" w:rsidRDefault="002B486F" w:rsidP="007F11EC">
      <w:pPr>
        <w:pStyle w:val="Heading1"/>
        <w:ind w:left="567" w:hanging="567"/>
      </w:pPr>
      <w:r>
        <w:t>Uważa, że słabiej rozwinięte i strukturalnie ograniczone obszary wiejskie wymagają całościowego, zintegrowanego i ukierunkowanego na konkretny obszar wsparcia spójności, w</w:t>
      </w:r>
      <w:r w:rsidR="000D21B4">
        <w:t> </w:t>
      </w:r>
      <w:r>
        <w:t xml:space="preserve">tym infrastruktury, usług, łączności, innowacji, przedsiębiorczości (z uwzględnieniem </w:t>
      </w:r>
      <w:r>
        <w:lastRenderedPageBreak/>
        <w:t>również przedsiębiorstw typu start-</w:t>
      </w:r>
      <w:proofErr w:type="spellStart"/>
      <w:r>
        <w:t>up</w:t>
      </w:r>
      <w:proofErr w:type="spellEnd"/>
      <w:r>
        <w:t>), włączenia społecznego i funkcjonalnych powiązań między obszarami miejskimi i wiejskimi.</w:t>
      </w:r>
    </w:p>
    <w:p w14:paraId="41E3CCDB" w14:textId="77777777" w:rsidR="002A4F85" w:rsidRPr="002A4F85" w:rsidRDefault="002A4F85" w:rsidP="002A4F85"/>
    <w:p w14:paraId="33556C20" w14:textId="40045993" w:rsidR="00BC3FFF" w:rsidRDefault="002B486F" w:rsidP="007F11EC">
      <w:pPr>
        <w:pStyle w:val="Heading1"/>
        <w:ind w:left="567" w:hanging="567"/>
      </w:pPr>
      <w:r>
        <w:t>Wzywa do trwałego i wyważonego rozwoju terytorialnego bazującego na zintegrowanych strategiach regionalnych, miejskich i wiejskich oraz polityce opartej na dowodach. Jednocześnie należy poszukiwać powiązań i synergii, a nie trzymać się administracyjnych granic.</w:t>
      </w:r>
    </w:p>
    <w:p w14:paraId="057E471C" w14:textId="77777777" w:rsidR="007F11EC" w:rsidRPr="007F11EC" w:rsidRDefault="007F11EC" w:rsidP="007F11EC"/>
    <w:p w14:paraId="13640A74" w14:textId="72A2FB7E" w:rsidR="00783990" w:rsidRDefault="002B486F">
      <w:pPr>
        <w:pStyle w:val="Heading1"/>
        <w:ind w:left="567" w:hanging="567"/>
      </w:pPr>
      <w:r>
        <w:t>Wzywa do zapewnienia równego dostępu do usług i infrastruktury oraz proponuje ustanowienie podstawowych standardów jakości życia na obszarach wiejskich.</w:t>
      </w:r>
    </w:p>
    <w:p w14:paraId="67BB333C" w14:textId="77777777" w:rsidR="007F11EC" w:rsidRPr="007F11EC" w:rsidRDefault="007F11EC"/>
    <w:p w14:paraId="6E95652A" w14:textId="30434835" w:rsidR="00987ACE" w:rsidRDefault="002B486F" w:rsidP="00D14A06">
      <w:pPr>
        <w:pStyle w:val="Heading1"/>
        <w:keepNext/>
        <w:keepLines/>
        <w:ind w:left="567" w:hanging="567"/>
      </w:pPr>
      <w:r>
        <w:t>Wskazując na art. 174 TFUE:</w:t>
      </w:r>
    </w:p>
    <w:p w14:paraId="2035E349" w14:textId="77777777" w:rsidR="00D14A06" w:rsidRPr="005E5986" w:rsidRDefault="00D14A06" w:rsidP="005E5986"/>
    <w:p w14:paraId="24258F55" w14:textId="79D029F8" w:rsidR="00E22B12" w:rsidRDefault="00987ACE" w:rsidP="00D14A06">
      <w:pPr>
        <w:pStyle w:val="ListParagraph"/>
        <w:keepNext/>
        <w:keepLines/>
        <w:numPr>
          <w:ilvl w:val="0"/>
          <w:numId w:val="24"/>
        </w:numPr>
        <w:ind w:left="851" w:hanging="284"/>
        <w:contextualSpacing w:val="0"/>
      </w:pPr>
      <w:r>
        <w:t>podkreśla, że polityka spójności ma wyjątkową możliwość sprostania złożonym i</w:t>
      </w:r>
      <w:r w:rsidR="00B013CC">
        <w:t> </w:t>
      </w:r>
      <w:r>
        <w:t>wielowymiarowym wyzwaniom, przed którymi stoją obszary wiejskie, dzięki podejściu ukierunkowanemu na konkretny obszar i ramom wielopoziomowego sprawowania rządów, a</w:t>
      </w:r>
      <w:r w:rsidR="00B013CC">
        <w:t> </w:t>
      </w:r>
      <w:r>
        <w:t>także sądzi, że zintegrowane wsparcie dla obszarów wiejskich i rozwoju obszarów miejskich i wiejskich powinno stanowić wyraźną i integralną część polityki spójności, w</w:t>
      </w:r>
      <w:r w:rsidR="00B013CC">
        <w:t> </w:t>
      </w:r>
      <w:r>
        <w:t>pełni zgodną z art. 174 TFUE;</w:t>
      </w:r>
    </w:p>
    <w:p w14:paraId="6787DBC9" w14:textId="77777777" w:rsidR="00D14A06" w:rsidRPr="00A64966" w:rsidRDefault="00D14A06" w:rsidP="005E5986">
      <w:pPr>
        <w:keepNext/>
        <w:keepLines/>
      </w:pPr>
    </w:p>
    <w:p w14:paraId="26C42BDC" w14:textId="0BE13EEC" w:rsidR="00A64966" w:rsidRDefault="00A64966" w:rsidP="00D14A06">
      <w:pPr>
        <w:pStyle w:val="ListParagraph"/>
        <w:numPr>
          <w:ilvl w:val="0"/>
          <w:numId w:val="24"/>
        </w:numPr>
        <w:ind w:left="851" w:hanging="284"/>
        <w:contextualSpacing w:val="0"/>
      </w:pPr>
      <w:r>
        <w:t>wskazuje, że polityka spójności i środki rozwoju obszarów wiejskich muszą umożliwiać wystarczającą elastyczność i dostosowane do potrzeb rozwiązania, aby odzwierciedlić różnorodność obszarów wiejskich, w tym obszarów górskich, wysp, regionów najbardziej oddalonych i obszarów słabo zaludnionych, które borykają się z wyraźnymi ograniczeniami strukturalnymi i wyzwaniami rozwojowymi.</w:t>
      </w:r>
    </w:p>
    <w:p w14:paraId="5B3792DD" w14:textId="77777777" w:rsidR="00D14A06" w:rsidRDefault="00D14A06" w:rsidP="005E5986"/>
    <w:p w14:paraId="7DEDCE54" w14:textId="55F842BD" w:rsidR="00E22B12" w:rsidRDefault="002B486F">
      <w:pPr>
        <w:pStyle w:val="Heading1"/>
        <w:ind w:left="567" w:hanging="567"/>
      </w:pPr>
      <w:r>
        <w:t>Odnotowuje, że w proponowanych ramach politycznych i finansowych rozporządzenie w</w:t>
      </w:r>
      <w:r w:rsidR="00B013CC">
        <w:t> </w:t>
      </w:r>
      <w:r>
        <w:t>sprawie EFRR i Funduszu Spójności koncentruje się na zintegrowanym rozwoju obszarów miejskich i odnosi się do obszarów wiejskich głównie poprzez powiązania między obszarami miejskimi i wiejskimi, podczas gdy rozporządzenie w sprawie EFS nie przewiduje podejścia kierowanego przez społeczność w polityce dotyczącej zatrudnienia, umiejętności lub włączenia społecznego, chociaż okazało się ono bardzo innowacyjne i skuteczne w państwach członkowskich, które je stosują. Uważa, że ten brak komplementarności grozi zmniejszeniem skuteczności prawdziwie zintegrowanego podejścia finansowanego z wielu źródeł.</w:t>
      </w:r>
    </w:p>
    <w:p w14:paraId="4B137972" w14:textId="77777777" w:rsidR="007F11EC" w:rsidRPr="007F11EC" w:rsidRDefault="007F11EC"/>
    <w:p w14:paraId="6898F3A8" w14:textId="1CBE689D" w:rsidR="00E22B12" w:rsidRDefault="002B486F" w:rsidP="007F11EC">
      <w:pPr>
        <w:pStyle w:val="Heading1"/>
        <w:ind w:left="567" w:hanging="567"/>
      </w:pPr>
      <w:r>
        <w:t>Podkreśla, że weryfikacja wpływu polityki na rozwój obszarów wiejskich stanowi kluczowy mechanizm operacyjny pozwalający dopilnować, aby regiony wiejskie i władze lokalne nie były pomijane w coraz bardziej zintegrowanych ramach finansowania. Zwraca uwagę, że priorytety rozwoju obszarów wiejskich powinny również znaleźć odzwierciedlenie w programach UE wykraczających poza plany partnerstwa krajowego i regionalnego (PPKR), w tym w</w:t>
      </w:r>
      <w:r w:rsidR="00B013CC">
        <w:t> </w:t>
      </w:r>
      <w:r>
        <w:t>Europejskim Funduszu Konkurencyjności i programie „Horyzont Europa”.</w:t>
      </w:r>
    </w:p>
    <w:p w14:paraId="7E26B944" w14:textId="77777777" w:rsidR="007F11EC" w:rsidRPr="007F11EC" w:rsidRDefault="007F11EC" w:rsidP="007F11EC"/>
    <w:p w14:paraId="204E13D6" w14:textId="0C33D67C" w:rsidR="00E22B12" w:rsidRDefault="002B486F" w:rsidP="007F11EC">
      <w:pPr>
        <w:pStyle w:val="Heading1"/>
        <w:ind w:left="567" w:hanging="567"/>
      </w:pPr>
      <w:r>
        <w:t>Proponuje, aby wszystkie interwencje realizowane w ramach PPKR były systematycznie i</w:t>
      </w:r>
      <w:r w:rsidR="00B013CC">
        <w:t> </w:t>
      </w:r>
      <w:r>
        <w:t>przekrojowo monitorowane pod kątem ich oddziaływania terytorialnego na obszary i</w:t>
      </w:r>
      <w:r w:rsidR="00B013CC">
        <w:t> </w:t>
      </w:r>
      <w:r>
        <w:t xml:space="preserve">społeczności wiejskie, w tym za pomocą ocen oddziaływania terytorialnego </w:t>
      </w:r>
      <w:r>
        <w:rPr>
          <w:i/>
          <w:iCs/>
        </w:rPr>
        <w:t xml:space="preserve">ex </w:t>
      </w:r>
      <w:proofErr w:type="spellStart"/>
      <w:r>
        <w:rPr>
          <w:i/>
          <w:iCs/>
        </w:rPr>
        <w:t>ante</w:t>
      </w:r>
      <w:proofErr w:type="spellEnd"/>
      <w:r>
        <w:t xml:space="preserve"> i </w:t>
      </w:r>
      <w:r>
        <w:rPr>
          <w:i/>
          <w:iCs/>
        </w:rPr>
        <w:t>ex post</w:t>
      </w:r>
      <w:r>
        <w:t>, spójnego znakowania terytorialnego i przejrzystej sprawozdawczości w zakresie wydatków.</w:t>
      </w:r>
    </w:p>
    <w:p w14:paraId="0F28367A" w14:textId="77777777" w:rsidR="007F11EC" w:rsidRPr="007F11EC" w:rsidRDefault="007F11EC" w:rsidP="007F11EC"/>
    <w:p w14:paraId="3AB44734" w14:textId="1214A3A4" w:rsidR="00E32ECA" w:rsidRDefault="002B486F" w:rsidP="007F11EC">
      <w:pPr>
        <w:pStyle w:val="Heading1"/>
        <w:ind w:left="567" w:hanging="567"/>
      </w:pPr>
      <w:r>
        <w:lastRenderedPageBreak/>
        <w:t>Wzywa do monitorowania wszystkich interwencji realizowanych w ramach długoterminowej wizji dla obszarów wiejskich UE (LTVRA) i oceny postępów na podstawie jasno określonego zestawu wskaźników śródokresowych i celów pośrednich, tj. na wzór systemu oceny celów ONZ w zakresie zrównoważonego rozwoju. Wzywa również do systematycznego uwzględniania wymiaru regionalnego i wiejskiego w mechanizmie europejskiego semestru.</w:t>
      </w:r>
    </w:p>
    <w:p w14:paraId="7C208343" w14:textId="77777777" w:rsidR="002A4F85" w:rsidRPr="002A4F85" w:rsidRDefault="002A4F85" w:rsidP="00B013CC"/>
    <w:p w14:paraId="67BDC048" w14:textId="3CD67FED" w:rsidR="00E1140A" w:rsidRDefault="00E1140A" w:rsidP="00B013CC">
      <w:pPr>
        <w:rPr>
          <w:b/>
          <w:bCs/>
          <w:i/>
          <w:iCs/>
          <w:szCs w:val="22"/>
        </w:rPr>
      </w:pPr>
      <w:r>
        <w:rPr>
          <w:b/>
          <w:i/>
        </w:rPr>
        <w:t>Zapewnienie przydziału odpowiednich zasobów obszarom wiejskim poprzez weryfikację wpływu polityki na rozwój obszarów wiejskich</w:t>
      </w:r>
    </w:p>
    <w:p w14:paraId="27251675" w14:textId="77777777" w:rsidR="002A4F85" w:rsidRPr="002A4F85" w:rsidRDefault="002A4F85" w:rsidP="00B013CC">
      <w:pPr>
        <w:rPr>
          <w:b/>
          <w:bCs/>
          <w:i/>
          <w:iCs/>
          <w:szCs w:val="22"/>
        </w:rPr>
      </w:pPr>
    </w:p>
    <w:p w14:paraId="422B5297" w14:textId="4EB72D0C" w:rsidR="008B1FA1" w:rsidRDefault="004A199A" w:rsidP="002A4F85">
      <w:pPr>
        <w:pStyle w:val="Heading1"/>
        <w:ind w:left="567" w:hanging="567"/>
      </w:pPr>
      <w:r>
        <w:t>Podkreśla, że koncepcji takich jak wyodrębnianie lub przeznaczanie środków nie należy rozumieć jako tworzenia odrębnych funduszy dla obszarów wiejskich, ponieważ mogłoby to podważyć samą logikę zintegrowanego podejścia politycznego. Wskazuje zamiast tego na potrzebę podejścia horyzontalnego, w ramach którego obszary wiejskie są systematycznie uwzględniane we wszystkich odpowiednich politykach UE (takich jak spójność, rolnictwo, klimat, energia, transport, rybołówstwo, polityka cyfrowa i społeczna, edukacja, konkurencyjność, bezpieczeństwo, kultura itp.).</w:t>
      </w:r>
    </w:p>
    <w:p w14:paraId="41BC914E" w14:textId="77777777" w:rsidR="002A4F85" w:rsidRPr="002A4F85" w:rsidRDefault="002A4F85" w:rsidP="002A4F85">
      <w:pPr>
        <w:ind w:left="567" w:hanging="567"/>
      </w:pPr>
    </w:p>
    <w:p w14:paraId="39D76CF8" w14:textId="42844C7E" w:rsidR="008B1FA1" w:rsidRDefault="00A775AC" w:rsidP="002A4F85">
      <w:pPr>
        <w:pStyle w:val="Heading1"/>
        <w:ind w:left="567" w:hanging="567"/>
      </w:pPr>
      <w:r>
        <w:t>Zwraca uwagę, że weryfikacja wpływu polityki na rozwój obszarów wiejskich obejmuje</w:t>
      </w:r>
      <w:r w:rsidR="005045D1">
        <w:rPr>
          <w:rStyle w:val="FootnoteReference"/>
        </w:rPr>
        <w:footnoteReference w:id="2"/>
      </w:r>
      <w:r>
        <w:t xml:space="preserve"> przegląd strategii politycznych z perspektywy obszarów wiejskich w celu zapewnienia, aby były one adekwatne do potrzeb osób mieszkających i pracujących na tych obszarach, włączając w to ocenę ich bezpośredniego i pośredniego wpływu na zatrudnienie, perspektywy rozwoju, dobrostan społeczny, równość i jakość środowiska. Wzywa do zwiększenia zdolności w</w:t>
      </w:r>
      <w:r w:rsidR="00B013CC">
        <w:t> </w:t>
      </w:r>
      <w:r>
        <w:t>zakresie weryfikacji wpływu polityki na rozwój obszarów wiejskich na szczeblu unijnym, krajowym, regionalnym i lokalnym, w tym poprzez specjalny plan budowania zdolności zakorzeniony w modelu krajowego programu reform.</w:t>
      </w:r>
    </w:p>
    <w:p w14:paraId="552BCC5C" w14:textId="77777777" w:rsidR="002A4F85" w:rsidRPr="002A4F85" w:rsidRDefault="002A4F85" w:rsidP="002A4F85"/>
    <w:p w14:paraId="539CD586" w14:textId="6C99E50A" w:rsidR="00E22B12" w:rsidRDefault="004A199A" w:rsidP="002A4F85">
      <w:pPr>
        <w:pStyle w:val="Heading1"/>
        <w:ind w:left="567" w:hanging="567"/>
      </w:pPr>
      <w:r>
        <w:t>Zauważa, że obszary i społeczności wiejskie pozostają systematycznie niedofinansowane, i</w:t>
      </w:r>
      <w:r w:rsidR="00B013CC">
        <w:t> </w:t>
      </w:r>
      <w:r>
        <w:t>podkreśla, że sprawdzanie polityki spójności pod kątem rozwoju obszarów wiejskich wymaga zastosowania obowiązkowego wymiaru wiejskiego, co pozwoli zapewnić, że wyraźnie określona i wystarczająca część finansowania UE skutecznie dotrze do obszarów wiejskich za pomocą wielorakich instrumentów polityki, przy jednoczesnym zachowaniu zintegrowanej i</w:t>
      </w:r>
      <w:r w:rsidR="00B013CC">
        <w:t> </w:t>
      </w:r>
      <w:r>
        <w:t>międzysektorowej struktury budżetu UE.</w:t>
      </w:r>
    </w:p>
    <w:p w14:paraId="6E6B9526" w14:textId="77777777" w:rsidR="002A4F85" w:rsidRPr="002A4F85" w:rsidRDefault="002A4F85" w:rsidP="002A4F85"/>
    <w:p w14:paraId="235065B0" w14:textId="113C632E" w:rsidR="003C5DEF" w:rsidRDefault="004A199A" w:rsidP="002A4F85">
      <w:pPr>
        <w:pStyle w:val="Heading1"/>
        <w:ind w:left="567" w:hanging="567"/>
      </w:pPr>
      <w:r>
        <w:t>Stwierdza, że proponowany cel 10 % dla obszarów wiejskich nie stanowi wystarczającego zobowiązania na rzecz rozwoju obszarów wiejskich, i uważa, że tego rodzaju propozycje jedynie zmieniają oznakowanie istniejących wydatków, pozostając poniżej obecnych poziomów wsparcia rozwoju obszarów wiejskich.</w:t>
      </w:r>
    </w:p>
    <w:p w14:paraId="24F70FE4" w14:textId="77777777" w:rsidR="002A4F85" w:rsidRPr="002A4F85" w:rsidRDefault="002A4F85" w:rsidP="002A4F85">
      <w:pPr>
        <w:ind w:left="567" w:hanging="567"/>
      </w:pPr>
    </w:p>
    <w:p w14:paraId="3219F567" w14:textId="4FD2A5DF" w:rsidR="003C5DEF" w:rsidRDefault="1977BB09" w:rsidP="002A4F85">
      <w:pPr>
        <w:pStyle w:val="Heading1"/>
        <w:ind w:left="567" w:hanging="567"/>
      </w:pPr>
      <w:r>
        <w:t>Popiera propozycję grupy koordynacyjnej ds. paktu na rzecz obszarów wiejskich</w:t>
      </w:r>
      <w:r w:rsidR="002D0423">
        <w:rPr>
          <w:rStyle w:val="FootnoteReference"/>
        </w:rPr>
        <w:footnoteReference w:id="3"/>
      </w:r>
      <w:r>
        <w:t xml:space="preserve">, aby co najmniej 30 % finansowania UE (w tym finansowania wykraczającego poza wsparcie dochodu z działalności rolniczej) przeznaczać horyzontalnie na obszary wiejskie, na których mieszka </w:t>
      </w:r>
      <w:r>
        <w:lastRenderedPageBreak/>
        <w:t>prawie 30 % obywateli UE. Postrzega ten cel za realistyczny, pod warunkiem że stosowane będą skuteczne mechanizmy weryfikacji wpływu polityki na rozwój obszarów wiejskich i</w:t>
      </w:r>
      <w:r w:rsidR="00B013CC">
        <w:t> </w:t>
      </w:r>
      <w:r>
        <w:t>znakowania terytorialnego.</w:t>
      </w:r>
    </w:p>
    <w:p w14:paraId="53C99E6C" w14:textId="77777777" w:rsidR="002A4F85" w:rsidRPr="002A4F85" w:rsidRDefault="002A4F85" w:rsidP="00B013CC"/>
    <w:p w14:paraId="1D558D96" w14:textId="7BE35254" w:rsidR="00B343D8" w:rsidRDefault="00B343D8" w:rsidP="00B013CC">
      <w:pPr>
        <w:rPr>
          <w:b/>
          <w:bCs/>
          <w:i/>
          <w:iCs/>
          <w:szCs w:val="22"/>
        </w:rPr>
      </w:pPr>
      <w:r>
        <w:rPr>
          <w:b/>
          <w:i/>
        </w:rPr>
        <w:t>Jasna i funkcjonalna definicja obszaru wiejskiego jako warunek wstępny monitorowania finansowania obszarów wiejskich</w:t>
      </w:r>
    </w:p>
    <w:p w14:paraId="486C4301" w14:textId="77777777" w:rsidR="002A4F85" w:rsidRPr="002A4F85" w:rsidRDefault="002A4F85" w:rsidP="00B013CC">
      <w:pPr>
        <w:rPr>
          <w:b/>
          <w:bCs/>
          <w:i/>
          <w:iCs/>
          <w:szCs w:val="22"/>
        </w:rPr>
      </w:pPr>
    </w:p>
    <w:p w14:paraId="61A14FB6" w14:textId="0824945B" w:rsidR="003C5DEF" w:rsidRDefault="004A199A" w:rsidP="002A4F85">
      <w:pPr>
        <w:pStyle w:val="Heading1"/>
        <w:ind w:left="567" w:hanging="567"/>
      </w:pPr>
      <w:r>
        <w:t>Zaznacza, że wiarygodność i skuteczność wszelkich ilościowych przydziałów środków dla obszarów wiejskich zależy od stosowania jasnej, funkcjonalnej i operacyjnej definicji obszaru wiejskiego do celów kształtowania i monitorowania polityki.</w:t>
      </w:r>
    </w:p>
    <w:p w14:paraId="3FF6FF25" w14:textId="77777777" w:rsidR="002A4F85" w:rsidRPr="002A4F85" w:rsidRDefault="002A4F85" w:rsidP="002A4F85">
      <w:pPr>
        <w:ind w:left="567" w:hanging="567"/>
      </w:pPr>
    </w:p>
    <w:p w14:paraId="53AD2579" w14:textId="1910761E" w:rsidR="003C5DEF" w:rsidRDefault="0092650F" w:rsidP="002A4F85">
      <w:pPr>
        <w:pStyle w:val="Heading1"/>
        <w:ind w:left="567" w:hanging="567"/>
      </w:pPr>
      <w:r>
        <w:t>Zwraca uwagę, że poleganie na kategoryzacji na poziomie NUTS 3 zataja znaczne dysproporcje wewnątrzregionalne i ostrzega, że może to prowadzić do sytuacji, w której finansowanie wydaje się zrównoważone terytorialnie, a jednocześnie nie dociera do najbardziej potrzebujących społeczności wiejskich.</w:t>
      </w:r>
    </w:p>
    <w:p w14:paraId="01A4B06F" w14:textId="77777777" w:rsidR="002A4F85" w:rsidRPr="002A4F85" w:rsidRDefault="002A4F85" w:rsidP="002A4F85">
      <w:pPr>
        <w:ind w:left="567" w:hanging="567"/>
      </w:pPr>
    </w:p>
    <w:p w14:paraId="30CCBFDA" w14:textId="18847552" w:rsidR="003C5DEF" w:rsidRDefault="00EB6336" w:rsidP="002A4F85">
      <w:pPr>
        <w:pStyle w:val="Heading1"/>
        <w:ind w:left="567" w:hanging="567"/>
      </w:pPr>
      <w:r>
        <w:t>Popiera wniosek grupy koordynacyjnej ds. paktu na rzecz obszarów wiejskich o ustanowienie minimalnych wymogów dotyczących określania obszarów wiejskich, społeczności wiejskich i</w:t>
      </w:r>
      <w:r w:rsidR="00B013CC">
        <w:t> </w:t>
      </w:r>
      <w:r>
        <w:t>wsparcia rozwoju obszarów wiejskich na szczeblu lokalnym, w oparciu o klasyfikację DEGURBA</w:t>
      </w:r>
      <w:r w:rsidR="004A199A">
        <w:rPr>
          <w:rStyle w:val="FootnoteReference"/>
        </w:rPr>
        <w:footnoteReference w:id="4"/>
      </w:r>
      <w:r>
        <w:t xml:space="preserve"> na poziomie lokalnych jednostek administracyjnych, przy jednoczesnym zapewnieniu elastyczności w kontekście krajowym i regionalnym. Popiera utworzenie specjalnej grupy roboczej zainteresowanych stron w ramach grupy koordynacyjnej ds. paktu na rzecz obszarów wiejskich, aby można było przyczynić się do opracowania i wdrożenia takiej definicji we wszystkich unijnych instrumentach finansowania. Podkreśla, że definicja ta musi być konsekwentnie stosowana we wszystkich strategiach politycznych UE.</w:t>
      </w:r>
    </w:p>
    <w:p w14:paraId="2C95877C" w14:textId="77777777" w:rsidR="00B013CC" w:rsidRPr="00B013CC" w:rsidRDefault="00B013CC" w:rsidP="00B013CC"/>
    <w:p w14:paraId="06DEF630" w14:textId="27902A87" w:rsidR="00FB0BB5" w:rsidRDefault="00FB0BB5" w:rsidP="00B013CC">
      <w:pPr>
        <w:keepNext/>
        <w:rPr>
          <w:b/>
          <w:bCs/>
          <w:i/>
          <w:iCs/>
          <w:szCs w:val="22"/>
        </w:rPr>
      </w:pPr>
      <w:r>
        <w:rPr>
          <w:b/>
          <w:i/>
        </w:rPr>
        <w:t>Pomocniczość, wielopoziomowe sprawowanie rządów i podejście ukierunkowane na konkretny obszar</w:t>
      </w:r>
    </w:p>
    <w:p w14:paraId="17C88E01" w14:textId="77777777" w:rsidR="00771C9D" w:rsidRPr="002A4F85" w:rsidRDefault="00771C9D" w:rsidP="00B013CC">
      <w:pPr>
        <w:keepNext/>
        <w:rPr>
          <w:b/>
          <w:bCs/>
          <w:i/>
          <w:iCs/>
          <w:szCs w:val="22"/>
        </w:rPr>
      </w:pPr>
    </w:p>
    <w:p w14:paraId="063DB731" w14:textId="0A4203D8" w:rsidR="0082469D" w:rsidRDefault="0082469D" w:rsidP="002A4F85">
      <w:pPr>
        <w:pStyle w:val="Heading1"/>
        <w:ind w:left="567" w:hanging="567"/>
      </w:pPr>
      <w:r>
        <w:t>Podkreśla potrzebę opracowania całościowej i partycypacyjnej polityki rozwoju obszarów wiejskich zgodnie z LTVRA, przy silnym zaangażowaniu władz lokalnych i regionalnych w</w:t>
      </w:r>
      <w:r w:rsidR="00B013CC">
        <w:t> </w:t>
      </w:r>
      <w:r>
        <w:t>krajach przystępujących do UE i krajach sąsiadujących za pośrednictwem unijnych mechanizmów finansowania i wsparcia.</w:t>
      </w:r>
    </w:p>
    <w:p w14:paraId="62CF5F80" w14:textId="77777777" w:rsidR="002A4F85" w:rsidRPr="002A4F85" w:rsidRDefault="002A4F85" w:rsidP="002A4F85">
      <w:pPr>
        <w:ind w:left="567" w:hanging="567"/>
      </w:pPr>
    </w:p>
    <w:p w14:paraId="2E277DD1" w14:textId="35353A27" w:rsidR="003C5DEF" w:rsidRDefault="003C5DEF" w:rsidP="002A4F85">
      <w:pPr>
        <w:pStyle w:val="Heading1"/>
        <w:ind w:left="567" w:hanging="567"/>
      </w:pPr>
      <w:r>
        <w:t>Zaznacza, że w ramach na okres po 2027 r. należy w pełni przestrzegać zasady pomocniczości, i</w:t>
      </w:r>
      <w:r w:rsidR="00B013CC">
        <w:t> </w:t>
      </w:r>
      <w:r>
        <w:t>ostrzega, że większa integracja funduszy nie może prowadzić do renacjonalizacji lub nadmiernej centralizacji, lecz powinna przyczynić się do wzmocnienia pozycji władz lokalnych i regionalnych.</w:t>
      </w:r>
    </w:p>
    <w:p w14:paraId="2D5CEF1A" w14:textId="77777777" w:rsidR="002A4F85" w:rsidRPr="002A4F85" w:rsidRDefault="002A4F85" w:rsidP="002A4F85">
      <w:pPr>
        <w:ind w:left="567" w:hanging="567"/>
      </w:pPr>
    </w:p>
    <w:p w14:paraId="0903BDD3" w14:textId="0D50EFE3" w:rsidR="004A199A" w:rsidRDefault="008C6054" w:rsidP="002A4F85">
      <w:pPr>
        <w:pStyle w:val="Heading1"/>
        <w:ind w:left="567" w:hanging="567"/>
      </w:pPr>
      <w:r>
        <w:t>Wzywa do większego zaangażowania samorządów oraz innych partnerów wiejskich – w tym społeczeństwa obywatelskiego – odzwierciedlającego zasadę silnego partnerstwa w</w:t>
      </w:r>
      <w:r w:rsidR="00B013CC">
        <w:t> </w:t>
      </w:r>
      <w:r>
        <w:t>opracowywaniu, zatwierdzaniu i wdrażaniu krajowych programów reform i mechanizmów weryfikacji wpływu polityki na rozwój obszarów wiejskich.</w:t>
      </w:r>
    </w:p>
    <w:p w14:paraId="74DE2FA0" w14:textId="77777777" w:rsidR="002A4F85" w:rsidRPr="002A4F85" w:rsidRDefault="002A4F85" w:rsidP="002A4F85">
      <w:pPr>
        <w:ind w:left="567" w:hanging="567"/>
      </w:pPr>
    </w:p>
    <w:p w14:paraId="15985F0C" w14:textId="510ACC1D" w:rsidR="008C6054" w:rsidRDefault="008C6054" w:rsidP="002A4F85">
      <w:pPr>
        <w:pStyle w:val="Heading1"/>
        <w:ind w:left="567" w:hanging="567"/>
      </w:pPr>
      <w:r>
        <w:lastRenderedPageBreak/>
        <w:t>Apeluje o odzwierciedlenie modelu unijnego paktu na rzecz obszarów wiejskich na szczeblu krajowym, regionalnym i lokalnym za pomocą ustrukturyzowanych rozwiązań w zakresie wielopoziomowego sprawowania rządów.</w:t>
      </w:r>
    </w:p>
    <w:p w14:paraId="4ACE56B4" w14:textId="77777777" w:rsidR="002A4F85" w:rsidRPr="002A4F85" w:rsidRDefault="002A4F85" w:rsidP="002A4F85">
      <w:pPr>
        <w:ind w:left="567" w:hanging="567"/>
      </w:pPr>
    </w:p>
    <w:p w14:paraId="271A7818" w14:textId="73153168" w:rsidR="006C2ACC" w:rsidRDefault="006C2ACC" w:rsidP="002A4F85">
      <w:pPr>
        <w:pStyle w:val="Heading1"/>
        <w:ind w:left="567" w:hanging="567"/>
      </w:pPr>
      <w:r>
        <w:t>Ponownie podkreśla udowodnioną wartość podejść ukierunkowanych na konkretny obszar i</w:t>
      </w:r>
      <w:r w:rsidR="00B013CC">
        <w:t> </w:t>
      </w:r>
      <w:r>
        <w:t>kierowanych przez społeczność, w szczególności LEADER/RLKS, oraz wzywa do ich wzmocnienia w przyszłych ramach, w tym poprzez konkretne przeznaczenie środków we wszystkich odpowiednich strategiach politycznych.</w:t>
      </w:r>
    </w:p>
    <w:p w14:paraId="5383CE92" w14:textId="77777777" w:rsidR="002A4F85" w:rsidRPr="002A4F85" w:rsidRDefault="002A4F85" w:rsidP="002A4F85"/>
    <w:p w14:paraId="38F25DE4" w14:textId="26F1E43E" w:rsidR="006C2ACC" w:rsidRDefault="00BC0731" w:rsidP="002A4F85">
      <w:pPr>
        <w:pStyle w:val="Heading1"/>
        <w:ind w:left="567" w:hanging="567"/>
        <w:rPr>
          <w:bCs/>
        </w:rPr>
      </w:pPr>
      <w:r>
        <w:t>Podkreśla potrzebę wzmocnienia zdolności społeczności lokalnych do długoterminowego, zintegrowanego rozwoju. Z zadowoleniem przyjmuje szersze wykorzystanie uproszczonych metod rozliczania kosztów oraz finansowania opartego na wynikach, a także wskazuje na ich znaczenie dla zmniejszenia obciążeń administracyjnych i poprawy dostępu do finansowania dla lokalnych inicjatyw prowadzonych na małą skalę. Zwraca uwagę, że uproszczonemu finansowaniu musi towarzyszyć trwałe wsparcie dla budowania zdolności podmiotów lokalnych.</w:t>
      </w:r>
    </w:p>
    <w:p w14:paraId="15654EAB" w14:textId="77777777" w:rsidR="002A4F85" w:rsidRPr="002A4F85" w:rsidRDefault="002A4F85" w:rsidP="002A4F85">
      <w:pPr>
        <w:ind w:left="567" w:hanging="567"/>
      </w:pPr>
    </w:p>
    <w:p w14:paraId="351A8D1A" w14:textId="482146FE" w:rsidR="006C2ACC" w:rsidRDefault="006C2ACC" w:rsidP="002A4F85">
      <w:pPr>
        <w:pStyle w:val="Heading1"/>
        <w:ind w:left="567" w:hanging="567"/>
      </w:pPr>
      <w:r>
        <w:t>Zauważa, że inteligentne wsie wykazują silny lokalny potencjał innowacyjny, ale borykają się z</w:t>
      </w:r>
      <w:r w:rsidR="00B013CC">
        <w:t> </w:t>
      </w:r>
      <w:r>
        <w:t>rozdrobnieniem finansowania i barierami administracyjnymi. Wzywa zatem do wzmocnienia inteligentnych małych społeczności (inteligentnych wsi) jako interwencji ukierunkowanej na konkretny obszar wspierającej długoterminowy rozwój oraz innowacje społeczne i</w:t>
      </w:r>
      <w:r w:rsidR="00B013CC">
        <w:t> </w:t>
      </w:r>
      <w:r>
        <w:t>technologiczne na szczeblu społeczności lokalnej.</w:t>
      </w:r>
    </w:p>
    <w:p w14:paraId="22C5DF27" w14:textId="77777777" w:rsidR="002A4F85" w:rsidRPr="002A4F85" w:rsidRDefault="002A4F85" w:rsidP="002A4F85">
      <w:pPr>
        <w:ind w:left="567" w:hanging="567"/>
      </w:pPr>
    </w:p>
    <w:p w14:paraId="3C11E898" w14:textId="7E6AD439" w:rsidR="00A77B22" w:rsidRDefault="00A77B22" w:rsidP="002A4F85">
      <w:pPr>
        <w:pStyle w:val="Heading1"/>
        <w:ind w:left="567" w:hanging="567"/>
      </w:pPr>
      <w:r>
        <w:t>Podkreśla potrzebę systematycznego wspierania innowacji i przedsiębiorczości na obszarach wiejskich, które w większości państw członkowskich pozostają daleko w tyle za średnimi krajowymi, np. poprzez tworzenie wiejskich centrów cyfrowych, inkubatorów przedsiębiorczości, systemów wsparcia instrumentów finansowych itp.</w:t>
      </w:r>
    </w:p>
    <w:p w14:paraId="3819E72A" w14:textId="77777777" w:rsidR="002A4F85" w:rsidRPr="002A4F85" w:rsidRDefault="002A4F85" w:rsidP="002A4F85">
      <w:pPr>
        <w:ind w:left="567" w:hanging="567"/>
      </w:pPr>
    </w:p>
    <w:p w14:paraId="76BB9655" w14:textId="7947F4A0" w:rsidR="006C2ACC" w:rsidRDefault="006C2ACC" w:rsidP="002A4F85">
      <w:pPr>
        <w:pStyle w:val="Heading1"/>
        <w:ind w:left="567" w:hanging="567"/>
      </w:pPr>
      <w:r>
        <w:t>Zaznacza, że społeczności, które już osiągnęły odpowiednie zdolności powinny mieć bezpośredni i prosty dostęp do specjalnego wsparcia, natomiast LEADER/RLKS, regiony i</w:t>
      </w:r>
      <w:r w:rsidR="00B013CC">
        <w:t> </w:t>
      </w:r>
      <w:r>
        <w:t>odpowiednie sieci powinny w razie potrzeby nadal zapewniać wsparcie w zakresie budowania zdolności.</w:t>
      </w:r>
    </w:p>
    <w:p w14:paraId="7F06177A" w14:textId="77777777" w:rsidR="002A4F85" w:rsidRPr="002A4F85" w:rsidRDefault="002A4F85" w:rsidP="002A4F85"/>
    <w:p w14:paraId="190A59F7" w14:textId="635C9786" w:rsidR="006C2ACC" w:rsidRDefault="006C2ACC" w:rsidP="002A4F85">
      <w:pPr>
        <w:pStyle w:val="Heading1"/>
        <w:ind w:left="567" w:hanging="567"/>
      </w:pPr>
      <w:r>
        <w:t>Uważa, że przeznaczenie zasobów na LEADER/RLKS i inteligentne małe społeczności zapewniłoby wdrożenie pewnego minimalnego udziału finansowania unijnego za pomocą podejścia kierowanego przez społeczność na wszystkich terytoriach, wspierając tym samym funkcjonalne powiązania między obszarami miejskimi i wiejskimi i pozwalając uniknąć odizolowanych interwencji.</w:t>
      </w:r>
    </w:p>
    <w:p w14:paraId="396DAE1E" w14:textId="77777777" w:rsidR="002A4F85" w:rsidRPr="002A4F85" w:rsidRDefault="002A4F85" w:rsidP="002A4F85"/>
    <w:p w14:paraId="53F65552" w14:textId="629602CF" w:rsidR="00F40F57" w:rsidRDefault="00F40F57" w:rsidP="002A4F85">
      <w:pPr>
        <w:pStyle w:val="Heading1"/>
        <w:ind w:left="567" w:hanging="567"/>
        <w:rPr>
          <w:b/>
          <w:bCs/>
        </w:rPr>
      </w:pPr>
      <w:r>
        <w:t>Podkreśla znaczenie aktywnego zaangażowania młodych ludzi w kształtowanie i wdrażanie polityki i strategii rozwoju obszarów wiejskich, w tym poprzez podejście kierowane przez społeczność i ukierunkowane na konkretny obszar. Jest to kluczowy warunek zapewnienia wymiany pokoleń i prawa do pozostania na obszarach wiejskich.</w:t>
      </w:r>
    </w:p>
    <w:p w14:paraId="25DD9DD4" w14:textId="77777777" w:rsidR="002A4F85" w:rsidRPr="002A4F85" w:rsidRDefault="002A4F85" w:rsidP="002A4F85"/>
    <w:p w14:paraId="711FA062" w14:textId="137BEA8E" w:rsidR="00E21E2A" w:rsidRPr="00F40F57" w:rsidRDefault="00F40F57" w:rsidP="00B013CC">
      <w:pPr>
        <w:pStyle w:val="Heading1"/>
        <w:keepNext/>
        <w:keepLines/>
        <w:ind w:left="567" w:hanging="567"/>
      </w:pPr>
      <w:r>
        <w:lastRenderedPageBreak/>
        <w:t>Pozytywnie ocenia to, że w projekcie rozporządzenia w sprawie WRF położono nacisk na lepszą koordynację międzyinstytucjonalną. Wzywa do ściślejszej koordynacji między odpowiednimi dyrekcjami generalnymi Komisji, zachęcając Komisję do rozważenia specjalnej struktury koordynacyjnej w celu wzmocnienia wymiaru wiejskiego w całym procesie zarządzania UE.</w:t>
      </w:r>
    </w:p>
    <w:p w14:paraId="2795DCEF" w14:textId="77777777" w:rsidR="003A043C" w:rsidRPr="000106DE" w:rsidRDefault="003A043C" w:rsidP="003A043C">
      <w:pPr>
        <w:rPr>
          <w:highlight w:val="yellow"/>
        </w:rPr>
      </w:pPr>
    </w:p>
    <w:p w14:paraId="3B498548" w14:textId="6BA5542C" w:rsidR="00444A98" w:rsidRPr="00334D96" w:rsidRDefault="00444A98" w:rsidP="003A043C">
      <w:pPr>
        <w:textAlignment w:val="auto"/>
      </w:pPr>
      <w:r>
        <w:t>Bruksela, dnia … r.</w:t>
      </w:r>
    </w:p>
    <w:p w14:paraId="0E8AE770" w14:textId="77777777" w:rsidR="00444A98" w:rsidRPr="00334D96" w:rsidRDefault="00444A98" w:rsidP="003A043C"/>
    <w:p w14:paraId="01DD63B8" w14:textId="77777777" w:rsidR="00444A98" w:rsidRPr="00334D96" w:rsidRDefault="00444A98" w:rsidP="003A043C">
      <w:pPr>
        <w:numPr>
          <w:ilvl w:val="0"/>
          <w:numId w:val="13"/>
        </w:numPr>
        <w:ind w:left="567" w:hanging="567"/>
        <w:rPr>
          <w:b/>
          <w:bCs/>
        </w:rPr>
      </w:pPr>
      <w:r>
        <w:br w:type="page"/>
      </w:r>
      <w:r>
        <w:rPr>
          <w:b/>
        </w:rPr>
        <w:lastRenderedPageBreak/>
        <w:t>PROCEDURA</w:t>
      </w:r>
    </w:p>
    <w:p w14:paraId="25474DE1" w14:textId="77777777" w:rsidR="00444A98" w:rsidRPr="00334D96" w:rsidRDefault="00444A98" w:rsidP="003A043C"/>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444A98" w:rsidRPr="00334D96" w14:paraId="33B445A0" w14:textId="77777777" w:rsidTr="00183EE2">
        <w:tc>
          <w:tcPr>
            <w:tcW w:w="3848" w:type="dxa"/>
            <w:noWrap/>
          </w:tcPr>
          <w:p w14:paraId="3B8387E2" w14:textId="77777777" w:rsidR="00444A98" w:rsidRPr="00334D96" w:rsidRDefault="00444A98" w:rsidP="006D78CA">
            <w:pPr>
              <w:jc w:val="left"/>
              <w:rPr>
                <w:b/>
                <w:bCs/>
              </w:rPr>
            </w:pPr>
            <w:r>
              <w:rPr>
                <w:b/>
              </w:rPr>
              <w:t>Tytuł</w:t>
            </w:r>
          </w:p>
          <w:p w14:paraId="4000BD19" w14:textId="77777777" w:rsidR="00444A98" w:rsidRPr="00334D96" w:rsidRDefault="00444A98" w:rsidP="006D78CA">
            <w:pPr>
              <w:jc w:val="left"/>
            </w:pPr>
          </w:p>
        </w:tc>
        <w:tc>
          <w:tcPr>
            <w:tcW w:w="5441" w:type="dxa"/>
            <w:noWrap/>
          </w:tcPr>
          <w:p w14:paraId="7763334F" w14:textId="722DE397" w:rsidR="00444A98" w:rsidRPr="00334D96" w:rsidRDefault="00F90A07" w:rsidP="003A043C">
            <w:r>
              <w:t>Przyszłość rozwoju obszarów wiejskich po roku 2028</w:t>
            </w:r>
          </w:p>
        </w:tc>
      </w:tr>
      <w:tr w:rsidR="00444A98" w:rsidRPr="00334D96" w14:paraId="3D25714F" w14:textId="77777777" w:rsidTr="00183EE2">
        <w:tc>
          <w:tcPr>
            <w:tcW w:w="3848" w:type="dxa"/>
            <w:noWrap/>
          </w:tcPr>
          <w:p w14:paraId="25DFE291" w14:textId="5313E985" w:rsidR="00444A98" w:rsidRPr="00334D96" w:rsidRDefault="00444A98" w:rsidP="006D78CA">
            <w:pPr>
              <w:jc w:val="left"/>
              <w:rPr>
                <w:b/>
                <w:bCs/>
              </w:rPr>
            </w:pPr>
            <w:r>
              <w:rPr>
                <w:b/>
              </w:rPr>
              <w:t>Dokumenty źródłowe</w:t>
            </w:r>
          </w:p>
        </w:tc>
        <w:tc>
          <w:tcPr>
            <w:tcW w:w="5441" w:type="dxa"/>
            <w:noWrap/>
          </w:tcPr>
          <w:p w14:paraId="1903AD8B" w14:textId="77777777" w:rsidR="00444A98" w:rsidRPr="00334D96" w:rsidRDefault="00444A98" w:rsidP="003A043C"/>
        </w:tc>
      </w:tr>
      <w:tr w:rsidR="00444A98" w:rsidRPr="00334D96" w14:paraId="23E1F4AB" w14:textId="77777777" w:rsidTr="00183EE2">
        <w:tc>
          <w:tcPr>
            <w:tcW w:w="3848" w:type="dxa"/>
            <w:noWrap/>
          </w:tcPr>
          <w:p w14:paraId="6078A5EF" w14:textId="77777777" w:rsidR="00444A98" w:rsidRPr="00334D96" w:rsidRDefault="00444A98" w:rsidP="006D78CA">
            <w:pPr>
              <w:jc w:val="left"/>
              <w:rPr>
                <w:b/>
                <w:bCs/>
              </w:rPr>
            </w:pPr>
            <w:r>
              <w:rPr>
                <w:b/>
              </w:rPr>
              <w:t>Podstawa prawna</w:t>
            </w:r>
          </w:p>
        </w:tc>
        <w:tc>
          <w:tcPr>
            <w:tcW w:w="5441" w:type="dxa"/>
            <w:noWrap/>
          </w:tcPr>
          <w:p w14:paraId="0F82B18C" w14:textId="658117FB" w:rsidR="00444A98" w:rsidRPr="00334D96" w:rsidRDefault="00F90A07" w:rsidP="003A043C">
            <w:r>
              <w:t>Opinia z inicjatywy własnej, art. 307 akapit czwarty TFUE </w:t>
            </w:r>
          </w:p>
        </w:tc>
      </w:tr>
      <w:tr w:rsidR="00444A98" w:rsidRPr="00334D96" w14:paraId="204C723C" w14:textId="77777777" w:rsidTr="00183EE2">
        <w:tc>
          <w:tcPr>
            <w:tcW w:w="3848" w:type="dxa"/>
            <w:noWrap/>
          </w:tcPr>
          <w:p w14:paraId="2E740F6D" w14:textId="77777777" w:rsidR="00444A98" w:rsidRPr="00334D96" w:rsidRDefault="00444A98" w:rsidP="006D78CA">
            <w:pPr>
              <w:jc w:val="left"/>
              <w:rPr>
                <w:b/>
                <w:bCs/>
              </w:rPr>
            </w:pPr>
            <w:r>
              <w:rPr>
                <w:b/>
              </w:rPr>
              <w:t>Tryb postępowania</w:t>
            </w:r>
          </w:p>
        </w:tc>
        <w:tc>
          <w:tcPr>
            <w:tcW w:w="5441" w:type="dxa"/>
            <w:noWrap/>
          </w:tcPr>
          <w:p w14:paraId="35809121" w14:textId="60BEC4FB" w:rsidR="00444A98" w:rsidRPr="00334D96" w:rsidRDefault="009279AD" w:rsidP="003A043C">
            <w:r>
              <w:t xml:space="preserve">Art. 41 lit. b) </w:t>
            </w:r>
            <w:proofErr w:type="spellStart"/>
            <w:r>
              <w:t>ppkt</w:t>
            </w:r>
            <w:proofErr w:type="spellEnd"/>
            <w:r>
              <w:t xml:space="preserve"> (ii) regulaminu wewnętrznego</w:t>
            </w:r>
          </w:p>
        </w:tc>
      </w:tr>
      <w:tr w:rsidR="00444A98" w:rsidRPr="00334D96" w14:paraId="1A91A5E6" w14:textId="77777777" w:rsidTr="00183EE2">
        <w:tc>
          <w:tcPr>
            <w:tcW w:w="3848" w:type="dxa"/>
          </w:tcPr>
          <w:p w14:paraId="2FC73A12" w14:textId="77777777" w:rsidR="00444A98" w:rsidRPr="00334D96" w:rsidRDefault="00444A98" w:rsidP="006D78CA">
            <w:pPr>
              <w:jc w:val="left"/>
            </w:pPr>
            <w:r>
              <w:rPr>
                <w:b/>
              </w:rPr>
              <w:t>Data wniosku Rady/Data wniosku PE/</w:t>
            </w:r>
            <w:r>
              <w:rPr>
                <w:b/>
              </w:rPr>
              <w:br/>
              <w:t>Data pisma Komisji</w:t>
            </w:r>
          </w:p>
        </w:tc>
        <w:tc>
          <w:tcPr>
            <w:tcW w:w="5441" w:type="dxa"/>
            <w:noWrap/>
          </w:tcPr>
          <w:p w14:paraId="090B88F4" w14:textId="77777777" w:rsidR="00444A98" w:rsidRPr="00334D96" w:rsidRDefault="00444A98" w:rsidP="003A043C"/>
        </w:tc>
      </w:tr>
      <w:tr w:rsidR="00444A98" w:rsidRPr="00334D96" w14:paraId="5C79075B" w14:textId="77777777" w:rsidTr="00183EE2">
        <w:tc>
          <w:tcPr>
            <w:tcW w:w="3848" w:type="dxa"/>
          </w:tcPr>
          <w:p w14:paraId="6096374D" w14:textId="05E238FB" w:rsidR="00444A98" w:rsidRPr="00334D96" w:rsidRDefault="00444A98" w:rsidP="006D78CA">
            <w:pPr>
              <w:jc w:val="left"/>
            </w:pPr>
            <w:r>
              <w:rPr>
                <w:b/>
              </w:rPr>
              <w:t>Data decyzji Prezydium/Data decyzji Przewodniczącej</w:t>
            </w:r>
          </w:p>
        </w:tc>
        <w:tc>
          <w:tcPr>
            <w:tcW w:w="5441" w:type="dxa"/>
            <w:noWrap/>
          </w:tcPr>
          <w:p w14:paraId="7DD48180" w14:textId="77777777" w:rsidR="00444A98" w:rsidRPr="00334D96" w:rsidRDefault="00444A98" w:rsidP="003A043C"/>
        </w:tc>
      </w:tr>
      <w:tr w:rsidR="00444A98" w:rsidRPr="00334D96" w14:paraId="7A07543E" w14:textId="77777777" w:rsidTr="00183EE2">
        <w:tc>
          <w:tcPr>
            <w:tcW w:w="3848" w:type="dxa"/>
            <w:noWrap/>
          </w:tcPr>
          <w:p w14:paraId="2A1C11A4" w14:textId="77777777" w:rsidR="00444A98" w:rsidRPr="00334D96" w:rsidRDefault="00444A98" w:rsidP="006D78CA">
            <w:pPr>
              <w:jc w:val="left"/>
              <w:rPr>
                <w:b/>
                <w:bCs/>
              </w:rPr>
            </w:pPr>
            <w:r>
              <w:rPr>
                <w:b/>
              </w:rPr>
              <w:t>Komisja odpowiedzialna</w:t>
            </w:r>
          </w:p>
        </w:tc>
        <w:tc>
          <w:tcPr>
            <w:tcW w:w="5441" w:type="dxa"/>
            <w:noWrap/>
          </w:tcPr>
          <w:p w14:paraId="11DD836B" w14:textId="52639E51" w:rsidR="00444A98" w:rsidRPr="00334D96" w:rsidRDefault="00F90A07" w:rsidP="003A043C">
            <w:r>
              <w:t>Komisja Zasobów Naturalnych</w:t>
            </w:r>
          </w:p>
        </w:tc>
      </w:tr>
      <w:tr w:rsidR="00444A98" w:rsidRPr="00334D96" w14:paraId="7763E683" w14:textId="77777777" w:rsidTr="00183EE2">
        <w:tc>
          <w:tcPr>
            <w:tcW w:w="3848" w:type="dxa"/>
            <w:noWrap/>
          </w:tcPr>
          <w:p w14:paraId="0637CD75" w14:textId="77777777" w:rsidR="00444A98" w:rsidRPr="00334D96" w:rsidRDefault="00444A98" w:rsidP="006D78CA">
            <w:pPr>
              <w:jc w:val="left"/>
              <w:rPr>
                <w:b/>
                <w:bCs/>
              </w:rPr>
            </w:pPr>
            <w:r>
              <w:rPr>
                <w:b/>
              </w:rPr>
              <w:t>Sprawozdawca</w:t>
            </w:r>
          </w:p>
        </w:tc>
        <w:tc>
          <w:tcPr>
            <w:tcW w:w="5441" w:type="dxa"/>
            <w:noWrap/>
          </w:tcPr>
          <w:p w14:paraId="25D1A998" w14:textId="3637ED74" w:rsidR="00444A98" w:rsidRPr="00334D96" w:rsidRDefault="00953AAB" w:rsidP="003A043C">
            <w:proofErr w:type="spellStart"/>
            <w:r>
              <w:t>Radim</w:t>
            </w:r>
            <w:proofErr w:type="spellEnd"/>
            <w:r>
              <w:t xml:space="preserve"> SRŠEŇ (CZ/EPL)</w:t>
            </w:r>
          </w:p>
        </w:tc>
      </w:tr>
      <w:tr w:rsidR="00444A98" w:rsidRPr="00334D96" w14:paraId="50CFA60D" w14:textId="77777777" w:rsidTr="00183EE2">
        <w:tc>
          <w:tcPr>
            <w:tcW w:w="3848" w:type="dxa"/>
            <w:noWrap/>
          </w:tcPr>
          <w:p w14:paraId="1091857E" w14:textId="3DF27A58" w:rsidR="00444A98" w:rsidRPr="00334D96" w:rsidRDefault="00444A98" w:rsidP="006D78CA">
            <w:pPr>
              <w:jc w:val="left"/>
              <w:rPr>
                <w:b/>
                <w:bCs/>
              </w:rPr>
            </w:pPr>
            <w:r>
              <w:rPr>
                <w:b/>
              </w:rPr>
              <w:t>Posiedzenie komisji</w:t>
            </w:r>
          </w:p>
        </w:tc>
        <w:tc>
          <w:tcPr>
            <w:tcW w:w="5441" w:type="dxa"/>
            <w:noWrap/>
          </w:tcPr>
          <w:p w14:paraId="39BADD7C" w14:textId="58A7CF2E" w:rsidR="00444A98" w:rsidRPr="00334D96" w:rsidRDefault="00F90A07" w:rsidP="003A043C">
            <w:r>
              <w:t>4 lutego 2026 r.</w:t>
            </w:r>
          </w:p>
        </w:tc>
      </w:tr>
      <w:tr w:rsidR="00444A98" w:rsidRPr="00334D96" w14:paraId="550B9AC6" w14:textId="77777777" w:rsidTr="00183EE2">
        <w:tc>
          <w:tcPr>
            <w:tcW w:w="3848" w:type="dxa"/>
            <w:noWrap/>
          </w:tcPr>
          <w:p w14:paraId="49222FEA" w14:textId="1A4C5272" w:rsidR="00444A98" w:rsidRPr="00334D96" w:rsidRDefault="00444A98" w:rsidP="006D78CA">
            <w:pPr>
              <w:jc w:val="left"/>
              <w:rPr>
                <w:b/>
                <w:bCs/>
              </w:rPr>
            </w:pPr>
            <w:r>
              <w:rPr>
                <w:b/>
              </w:rPr>
              <w:t>Data przyjęcia przez komisję</w:t>
            </w:r>
          </w:p>
        </w:tc>
        <w:tc>
          <w:tcPr>
            <w:tcW w:w="5441" w:type="dxa"/>
            <w:noWrap/>
          </w:tcPr>
          <w:p w14:paraId="3F951320" w14:textId="76EAF4BC" w:rsidR="00444A98" w:rsidRPr="00334D96" w:rsidRDefault="00F90A07" w:rsidP="003A043C">
            <w:r>
              <w:t>4 lutego 2026 r.</w:t>
            </w:r>
          </w:p>
        </w:tc>
      </w:tr>
      <w:tr w:rsidR="00444A98" w:rsidRPr="00334D96" w14:paraId="18A68C55" w14:textId="77777777" w:rsidTr="00183EE2">
        <w:tc>
          <w:tcPr>
            <w:tcW w:w="3848" w:type="dxa"/>
            <w:noWrap/>
          </w:tcPr>
          <w:p w14:paraId="393D8A34" w14:textId="77777777" w:rsidR="00444A98" w:rsidRPr="00334D96" w:rsidRDefault="00444A98" w:rsidP="006D78CA">
            <w:pPr>
              <w:jc w:val="left"/>
              <w:rPr>
                <w:b/>
                <w:bCs/>
              </w:rPr>
            </w:pPr>
            <w:r>
              <w:rPr>
                <w:b/>
              </w:rPr>
              <w:t>Wynik głosowania komisji</w:t>
            </w:r>
          </w:p>
          <w:p w14:paraId="08EBB26E" w14:textId="77777777" w:rsidR="00444A98" w:rsidRPr="00334D96" w:rsidRDefault="00444A98" w:rsidP="006D78CA">
            <w:pPr>
              <w:jc w:val="left"/>
              <w:rPr>
                <w:b/>
                <w:bCs/>
              </w:rPr>
            </w:pPr>
            <w:r>
              <w:rPr>
                <w:b/>
              </w:rPr>
              <w:t>(większość, jednomyślność)</w:t>
            </w:r>
          </w:p>
        </w:tc>
        <w:tc>
          <w:tcPr>
            <w:tcW w:w="5441" w:type="dxa"/>
            <w:noWrap/>
          </w:tcPr>
          <w:p w14:paraId="5528C8A7" w14:textId="77777777" w:rsidR="00444A98" w:rsidRPr="00334D96" w:rsidRDefault="00444A98" w:rsidP="003A043C"/>
        </w:tc>
      </w:tr>
      <w:tr w:rsidR="00444A98" w:rsidRPr="00334D96" w14:paraId="2F6D707B" w14:textId="77777777" w:rsidTr="00183EE2">
        <w:tc>
          <w:tcPr>
            <w:tcW w:w="3848" w:type="dxa"/>
            <w:noWrap/>
          </w:tcPr>
          <w:p w14:paraId="48624E4D" w14:textId="7D039609" w:rsidR="00444A98" w:rsidRPr="00334D96" w:rsidRDefault="00444A98" w:rsidP="006D78CA">
            <w:pPr>
              <w:jc w:val="left"/>
              <w:rPr>
                <w:b/>
                <w:bCs/>
              </w:rPr>
            </w:pPr>
            <w:r>
              <w:rPr>
                <w:b/>
              </w:rPr>
              <w:t>Data przyjęcia na sesji plenarnej</w:t>
            </w:r>
          </w:p>
        </w:tc>
        <w:tc>
          <w:tcPr>
            <w:tcW w:w="5441" w:type="dxa"/>
            <w:noWrap/>
          </w:tcPr>
          <w:p w14:paraId="7E62CD5D" w14:textId="4383D75A" w:rsidR="00444A98" w:rsidRPr="00334D96" w:rsidRDefault="00953AAB" w:rsidP="003A043C">
            <w:r>
              <w:t>Przewidziano na 6–7 maja 2026 r.</w:t>
            </w:r>
          </w:p>
        </w:tc>
      </w:tr>
      <w:tr w:rsidR="00444A98" w:rsidRPr="00334D96" w14:paraId="59F2AEB5" w14:textId="77777777" w:rsidTr="00183EE2">
        <w:tc>
          <w:tcPr>
            <w:tcW w:w="3848" w:type="dxa"/>
            <w:noWrap/>
          </w:tcPr>
          <w:p w14:paraId="1480F6BA" w14:textId="0D9FC112" w:rsidR="00444A98" w:rsidRPr="00334D96" w:rsidRDefault="00444A98" w:rsidP="006D78CA">
            <w:pPr>
              <w:jc w:val="left"/>
              <w:rPr>
                <w:b/>
                <w:bCs/>
              </w:rPr>
            </w:pPr>
            <w:r>
              <w:rPr>
                <w:b/>
              </w:rPr>
              <w:t>Wcześniejsze opinie Komitetu</w:t>
            </w:r>
          </w:p>
        </w:tc>
        <w:tc>
          <w:tcPr>
            <w:tcW w:w="5441" w:type="dxa"/>
            <w:noWrap/>
          </w:tcPr>
          <w:p w14:paraId="32860175" w14:textId="77777777" w:rsidR="00444A98" w:rsidRPr="00334D96" w:rsidRDefault="00444A98" w:rsidP="003A043C"/>
        </w:tc>
      </w:tr>
      <w:tr w:rsidR="00444A98" w:rsidRPr="00334D96" w14:paraId="36C22B4E" w14:textId="77777777" w:rsidTr="00183EE2">
        <w:tc>
          <w:tcPr>
            <w:tcW w:w="3848" w:type="dxa"/>
            <w:noWrap/>
          </w:tcPr>
          <w:p w14:paraId="4E25415A" w14:textId="1E817D70" w:rsidR="00444A98" w:rsidRPr="00334D96" w:rsidRDefault="000273A5" w:rsidP="006D78CA">
            <w:pPr>
              <w:jc w:val="left"/>
              <w:rPr>
                <w:b/>
                <w:bCs/>
              </w:rPr>
            </w:pPr>
            <w:r>
              <w:rPr>
                <w:b/>
              </w:rPr>
              <w:t>Odniesienie do pomocniczości</w:t>
            </w:r>
          </w:p>
        </w:tc>
        <w:tc>
          <w:tcPr>
            <w:tcW w:w="5441" w:type="dxa"/>
            <w:noWrap/>
          </w:tcPr>
          <w:p w14:paraId="0648ED3F" w14:textId="77777777" w:rsidR="00444A98" w:rsidRPr="00334D96" w:rsidRDefault="00444A98" w:rsidP="003A043C"/>
        </w:tc>
      </w:tr>
    </w:tbl>
    <w:p w14:paraId="520429A0" w14:textId="77777777" w:rsidR="00444A98" w:rsidRPr="00334D96" w:rsidRDefault="00444A98" w:rsidP="003A043C"/>
    <w:p w14:paraId="7CB8958C" w14:textId="44BE954C" w:rsidR="00444A98" w:rsidRPr="00334D96" w:rsidRDefault="00444A98" w:rsidP="0022340D">
      <w:pPr>
        <w:jc w:val="center"/>
      </w:pPr>
      <w:r>
        <w:t>_____________</w:t>
      </w:r>
    </w:p>
    <w:sectPr w:rsidR="00444A98" w:rsidRPr="00334D96" w:rsidSect="00D14A06">
      <w:headerReference w:type="even" r:id="rId22"/>
      <w:headerReference w:type="default" r:id="rId23"/>
      <w:footerReference w:type="even" r:id="rId24"/>
      <w:footerReference w:type="default" r:id="rId25"/>
      <w:headerReference w:type="first" r:id="rId26"/>
      <w:footerReference w:type="first" r:id="rId27"/>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CDE9D" w14:textId="77777777" w:rsidR="00156CDB" w:rsidRDefault="00156CDB">
      <w:r>
        <w:separator/>
      </w:r>
    </w:p>
    <w:p w14:paraId="0695217A" w14:textId="77777777" w:rsidR="00156CDB" w:rsidRDefault="00156CDB"/>
  </w:endnote>
  <w:endnote w:type="continuationSeparator" w:id="0">
    <w:p w14:paraId="73B4E9AC" w14:textId="77777777" w:rsidR="00156CDB" w:rsidRDefault="00156CDB">
      <w:r>
        <w:continuationSeparator/>
      </w:r>
    </w:p>
    <w:p w14:paraId="7E7569BC" w14:textId="77777777" w:rsidR="00156CDB" w:rsidRDefault="00156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DEB5" w14:textId="77777777" w:rsidR="00D14A06" w:rsidRDefault="00D14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1C8D" w14:textId="6F9DAB91" w:rsidR="00BE006D" w:rsidRPr="00D14A06" w:rsidRDefault="00D14A06" w:rsidP="00D14A06">
    <w:pPr>
      <w:pStyle w:val="Footer"/>
    </w:pPr>
    <w:r>
      <w:t xml:space="preserve">COR-2025-04256-00-01-PA-TRA (EN) </w:t>
    </w:r>
    <w:r>
      <w:fldChar w:fldCharType="begin"/>
    </w:r>
    <w:r>
      <w:instrText xml:space="preserve"> PAGE  \* Arabic  \* MERGEFORMAT </w:instrText>
    </w:r>
    <w:r>
      <w:fldChar w:fldCharType="separate"/>
    </w:r>
    <w:r w:rsidR="00A73D39">
      <w:t>1</w:t>
    </w:r>
    <w:r>
      <w:fldChar w:fldCharType="end"/>
    </w:r>
    <w:r>
      <w:t>/</w:t>
    </w:r>
    <w:r w:rsidR="00E173E6">
      <w:fldChar w:fldCharType="begin"/>
    </w:r>
    <w:r w:rsidR="00E173E6">
      <w:instrText xml:space="preserve"> NUMPAGES </w:instrText>
    </w:r>
    <w:r w:rsidR="00E173E6">
      <w:fldChar w:fldCharType="separate"/>
    </w:r>
    <w:r w:rsidR="00A73D39">
      <w:t>1</w:t>
    </w:r>
    <w:r w:rsidR="00E173E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223A" w14:textId="77777777" w:rsidR="00D14A06" w:rsidRDefault="00D14A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3D28" w14:textId="77777777" w:rsidR="00E57E54" w:rsidRPr="00D14A06" w:rsidRDefault="00E57E54" w:rsidP="00D14A0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AE00" w14:textId="00E093F6" w:rsidR="00E57E54" w:rsidRPr="00D14A06" w:rsidRDefault="00D14A06" w:rsidP="00D14A06">
    <w:pPr>
      <w:pStyle w:val="Footer"/>
    </w:pPr>
    <w:r>
      <w:t xml:space="preserve">COR-2025-04256-00-01-PA-TRA (EN) </w:t>
    </w:r>
    <w:r>
      <w:fldChar w:fldCharType="begin"/>
    </w:r>
    <w:r>
      <w:instrText xml:space="preserve"> PAGE  \* Arabic  \* MERGEFORMAT </w:instrText>
    </w:r>
    <w:r>
      <w:fldChar w:fldCharType="separate"/>
    </w:r>
    <w:r>
      <w:t>2</w:t>
    </w:r>
    <w:r>
      <w:fldChar w:fldCharType="end"/>
    </w:r>
    <w:r>
      <w:t>/</w:t>
    </w:r>
    <w:r w:rsidR="00E173E6">
      <w:fldChar w:fldCharType="begin"/>
    </w:r>
    <w:r w:rsidR="00E173E6">
      <w:instrText xml:space="preserve"> NUMPAGES </w:instrText>
    </w:r>
    <w:r w:rsidR="00E173E6">
      <w:fldChar w:fldCharType="separate"/>
    </w:r>
    <w:r>
      <w:t>9</w:t>
    </w:r>
    <w:r w:rsidR="00E173E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88F3" w14:textId="77777777" w:rsidR="007F1C14" w:rsidRPr="00D14A06" w:rsidRDefault="007F1C14" w:rsidP="00D1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B74BC" w14:textId="77777777" w:rsidR="00156CDB" w:rsidRDefault="00156CDB">
      <w:r>
        <w:separator/>
      </w:r>
    </w:p>
  </w:footnote>
  <w:footnote w:type="continuationSeparator" w:id="0">
    <w:p w14:paraId="398E959E" w14:textId="77777777" w:rsidR="00156CDB" w:rsidRDefault="00156CDB">
      <w:r>
        <w:continuationSeparator/>
      </w:r>
    </w:p>
    <w:p w14:paraId="2E0EAFE2" w14:textId="77777777" w:rsidR="00156CDB" w:rsidRDefault="00156CDB"/>
  </w:footnote>
  <w:footnote w:id="1">
    <w:p w14:paraId="10F9FAB0" w14:textId="027D575F" w:rsidR="00637F97" w:rsidRPr="00637F97" w:rsidRDefault="00637F97" w:rsidP="00E5099F">
      <w:pPr>
        <w:pStyle w:val="FootnoteText"/>
        <w:ind w:left="567" w:hanging="567"/>
      </w:pPr>
      <w:r>
        <w:rPr>
          <w:rStyle w:val="FootnoteReference"/>
        </w:rPr>
        <w:footnoteRef/>
      </w:r>
      <w:r>
        <w:tab/>
        <w:t xml:space="preserve">Badanie dotyczące finansowania obszarów wiejskich UE (2024): </w:t>
      </w:r>
      <w:hyperlink r:id="rId1" w:history="1">
        <w:r>
          <w:rPr>
            <w:rStyle w:val="Hyperlink"/>
          </w:rPr>
          <w:t>https://op.europa.eu/pl/publication-detail/-/publication/959487c4-38e5-11ef-b441-01aa75ed71a1</w:t>
        </w:r>
      </w:hyperlink>
      <w:r>
        <w:t>.</w:t>
      </w:r>
    </w:p>
  </w:footnote>
  <w:footnote w:id="2">
    <w:p w14:paraId="6603CCBC" w14:textId="5C8101E8" w:rsidR="005045D1" w:rsidRPr="005045D1" w:rsidRDefault="005045D1" w:rsidP="00E5099F">
      <w:pPr>
        <w:pStyle w:val="FootnoteText"/>
        <w:ind w:left="567" w:hanging="567"/>
      </w:pPr>
      <w:r>
        <w:rPr>
          <w:rStyle w:val="FootnoteReference"/>
        </w:rPr>
        <w:footnoteRef/>
      </w:r>
      <w:r>
        <w:tab/>
        <w:t xml:space="preserve">Definicja weryfikacji wpływu polityki na rozwój obszarów wiejskich: </w:t>
      </w:r>
      <w:hyperlink r:id="rId2" w:history="1">
        <w:r>
          <w:rPr>
            <w:rStyle w:val="Hyperlink"/>
          </w:rPr>
          <w:t>https://rural-vision.europa.eu/action-plan/cross-cutting/rural-proofing_en</w:t>
        </w:r>
      </w:hyperlink>
      <w:r>
        <w:t>.</w:t>
      </w:r>
    </w:p>
  </w:footnote>
  <w:footnote w:id="3">
    <w:p w14:paraId="4502EE20" w14:textId="12D397A6" w:rsidR="002D0423" w:rsidRPr="002D0423" w:rsidRDefault="002D0423" w:rsidP="00E5099F">
      <w:pPr>
        <w:pStyle w:val="FootnoteText"/>
        <w:ind w:left="567" w:hanging="567"/>
      </w:pPr>
      <w:r>
        <w:rPr>
          <w:rStyle w:val="FootnoteReference"/>
        </w:rPr>
        <w:footnoteRef/>
      </w:r>
      <w:r>
        <w:tab/>
        <w:t xml:space="preserve">Deklaracja grupy koordynacyjnej ds. paktu na rzecz obszarów wiejskich na temat przyszłości obszarów wiejskich i polityki rozwoju obszarów wiejskich w UE (2024): </w:t>
      </w:r>
      <w:hyperlink r:id="rId3" w:history="1">
        <w:r>
          <w:rPr>
            <w:rStyle w:val="Hyperlink"/>
          </w:rPr>
          <w:t>RPCG-Joint-Declaration_250114.pdf</w:t>
        </w:r>
      </w:hyperlink>
      <w:r>
        <w:t>.</w:t>
      </w:r>
    </w:p>
  </w:footnote>
  <w:footnote w:id="4">
    <w:p w14:paraId="7DA51125" w14:textId="373F124A" w:rsidR="004A199A" w:rsidRPr="0062134D" w:rsidRDefault="004A199A" w:rsidP="00E5099F">
      <w:pPr>
        <w:pStyle w:val="FootnoteText"/>
        <w:ind w:left="567" w:hanging="567"/>
      </w:pPr>
      <w:r>
        <w:rPr>
          <w:rStyle w:val="FootnoteReference"/>
        </w:rPr>
        <w:footnoteRef/>
      </w:r>
      <w:r>
        <w:tab/>
      </w:r>
      <w:hyperlink r:id="rId4" w:history="1">
        <w:r>
          <w:rPr>
            <w:rStyle w:val="Hyperlink"/>
          </w:rPr>
          <w:t>https://ec.europa.eu/eurostat/web/degree-of-urbanisation/information-data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60E1" w14:textId="77777777" w:rsidR="00D14A06" w:rsidRDefault="00D14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CE6F" w14:textId="77777777" w:rsidR="00D14A06" w:rsidRDefault="00D14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2C7B" w14:textId="77777777" w:rsidR="00D14A06" w:rsidRDefault="00D14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93D3" w14:textId="77777777" w:rsidR="00E57E54" w:rsidRPr="00D14A06" w:rsidRDefault="00E57E54" w:rsidP="00D14A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BA0D" w14:textId="67F2AE75" w:rsidR="00E57E54" w:rsidRPr="00D14A06" w:rsidRDefault="00E57E54" w:rsidP="00D14A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8582" w14:textId="77777777" w:rsidR="007F1C14" w:rsidRPr="00D14A06" w:rsidRDefault="007F1C14" w:rsidP="00D14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C046DDE"/>
    <w:lvl w:ilvl="0">
      <w:start w:val="1"/>
      <w:numFmt w:val="decimal"/>
      <w:pStyle w:val="Heading1"/>
      <w:lvlText w:val="%1."/>
      <w:legacy w:legacy="1" w:legacySpace="0" w:legacyIndent="0"/>
      <w:lvlJc w:val="left"/>
      <w:rPr>
        <w:rFonts w:cs="Times New Roman"/>
        <w:b w:val="0"/>
        <w:bCs w:val="0"/>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0445832"/>
    <w:multiLevelType w:val="multilevel"/>
    <w:tmpl w:val="862A8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A5D17"/>
    <w:multiLevelType w:val="hybridMultilevel"/>
    <w:tmpl w:val="C1E872AE"/>
    <w:lvl w:ilvl="0" w:tplc="6EE6DEAA">
      <w:start w:val="1"/>
      <w:numFmt w:val="decimal"/>
      <w:lvlText w:val="%1."/>
      <w:lvlJc w:val="left"/>
      <w:pPr>
        <w:ind w:left="360" w:hanging="360"/>
      </w:pPr>
      <w:rPr>
        <w:rFonts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4A40434"/>
    <w:multiLevelType w:val="multilevel"/>
    <w:tmpl w:val="C1E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37F68"/>
    <w:multiLevelType w:val="multilevel"/>
    <w:tmpl w:val="3A14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D95627"/>
    <w:multiLevelType w:val="multilevel"/>
    <w:tmpl w:val="A86C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62DD3"/>
    <w:multiLevelType w:val="hybridMultilevel"/>
    <w:tmpl w:val="4B767F8E"/>
    <w:lvl w:ilvl="0" w:tplc="B27E2632">
      <w:start w:val="1"/>
      <w:numFmt w:val="bullet"/>
      <w:lvlText w:val=""/>
      <w:lvlJc w:val="left"/>
      <w:pPr>
        <w:ind w:left="360" w:hanging="360"/>
      </w:pPr>
      <w:rPr>
        <w:rFonts w:ascii="Symbol" w:hAnsi="Symbol"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A3C4B"/>
    <w:multiLevelType w:val="hybridMultilevel"/>
    <w:tmpl w:val="3DB6C65A"/>
    <w:lvl w:ilvl="0" w:tplc="08090001">
      <w:start w:val="1"/>
      <w:numFmt w:val="bullet"/>
      <w:lvlText w:val=""/>
      <w:lvlJc w:val="left"/>
      <w:pPr>
        <w:ind w:left="360" w:hanging="360"/>
      </w:pPr>
      <w:rPr>
        <w:rFonts w:ascii="Symbol" w:hAnsi="Symbol"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D12365"/>
    <w:multiLevelType w:val="multilevel"/>
    <w:tmpl w:val="2DD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F7432"/>
    <w:multiLevelType w:val="hybridMultilevel"/>
    <w:tmpl w:val="8E04C474"/>
    <w:lvl w:ilvl="0" w:tplc="20000003">
      <w:start w:val="1"/>
      <w:numFmt w:val="bullet"/>
      <w:lvlText w:val="o"/>
      <w:lvlJc w:val="left"/>
      <w:pPr>
        <w:ind w:left="360" w:hanging="360"/>
      </w:pPr>
      <w:rPr>
        <w:rFonts w:ascii="Courier New" w:hAnsi="Courier New" w:cs="Courier New" w:hint="default"/>
        <w:b w:val="0"/>
        <w:i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CFF3782"/>
    <w:multiLevelType w:val="multilevel"/>
    <w:tmpl w:val="4814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E306C9C"/>
    <w:multiLevelType w:val="hybridMultilevel"/>
    <w:tmpl w:val="96F4ACFC"/>
    <w:lvl w:ilvl="0" w:tplc="EDBE1F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BC5746"/>
    <w:multiLevelType w:val="hybridMultilevel"/>
    <w:tmpl w:val="E5C8CECA"/>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8"/>
  </w:num>
  <w:num w:numId="3">
    <w:abstractNumId w:val="21"/>
  </w:num>
  <w:num w:numId="4">
    <w:abstractNumId w:val="9"/>
  </w:num>
  <w:num w:numId="5">
    <w:abstractNumId w:val="11"/>
  </w:num>
  <w:num w:numId="6">
    <w:abstractNumId w:val="6"/>
  </w:num>
  <w:num w:numId="7">
    <w:abstractNumId w:val="4"/>
  </w:num>
  <w:num w:numId="8">
    <w:abstractNumId w:val="17"/>
  </w:num>
  <w:num w:numId="9">
    <w:abstractNumId w:val="14"/>
  </w:num>
  <w:num w:numId="10">
    <w:abstractNumId w:val="15"/>
  </w:num>
  <w:num w:numId="11">
    <w:abstractNumId w:val="5"/>
  </w:num>
  <w:num w:numId="12">
    <w:abstractNumId w:val="10"/>
  </w:num>
  <w:num w:numId="13">
    <w:abstractNumId w:val="23"/>
  </w:num>
  <w:num w:numId="14">
    <w:abstractNumId w:val="1"/>
  </w:num>
  <w:num w:numId="15">
    <w:abstractNumId w:val="2"/>
  </w:num>
  <w:num w:numId="16">
    <w:abstractNumId w:val="18"/>
  </w:num>
  <w:num w:numId="17">
    <w:abstractNumId w:val="3"/>
  </w:num>
  <w:num w:numId="18">
    <w:abstractNumId w:val="12"/>
  </w:num>
  <w:num w:numId="19">
    <w:abstractNumId w:val="20"/>
  </w:num>
  <w:num w:numId="20">
    <w:abstractNumId w:val="7"/>
  </w:num>
  <w:num w:numId="21">
    <w:abstractNumId w:val="22"/>
  </w:num>
  <w:num w:numId="22">
    <w:abstractNumId w:val="1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042CC"/>
    <w:rsid w:val="00004C6B"/>
    <w:rsid w:val="000106DE"/>
    <w:rsid w:val="00020143"/>
    <w:rsid w:val="00020D7F"/>
    <w:rsid w:val="00022D22"/>
    <w:rsid w:val="000273A5"/>
    <w:rsid w:val="00032BB4"/>
    <w:rsid w:val="00040FA9"/>
    <w:rsid w:val="00043A46"/>
    <w:rsid w:val="00052ECB"/>
    <w:rsid w:val="0005769B"/>
    <w:rsid w:val="00060841"/>
    <w:rsid w:val="000615B3"/>
    <w:rsid w:val="00067BA8"/>
    <w:rsid w:val="000773D3"/>
    <w:rsid w:val="00083AE8"/>
    <w:rsid w:val="00093D5D"/>
    <w:rsid w:val="00096DD2"/>
    <w:rsid w:val="000A4ED8"/>
    <w:rsid w:val="000B44FE"/>
    <w:rsid w:val="000B74D3"/>
    <w:rsid w:val="000C3BC1"/>
    <w:rsid w:val="000D21B4"/>
    <w:rsid w:val="000D6A84"/>
    <w:rsid w:val="00101FBB"/>
    <w:rsid w:val="00102B82"/>
    <w:rsid w:val="00112E32"/>
    <w:rsid w:val="0012190B"/>
    <w:rsid w:val="0012747F"/>
    <w:rsid w:val="0015645B"/>
    <w:rsid w:val="00156CDB"/>
    <w:rsid w:val="00183EE2"/>
    <w:rsid w:val="00193552"/>
    <w:rsid w:val="001963F6"/>
    <w:rsid w:val="001B110E"/>
    <w:rsid w:val="001B33A4"/>
    <w:rsid w:val="001B77F8"/>
    <w:rsid w:val="001C641A"/>
    <w:rsid w:val="001C66A9"/>
    <w:rsid w:val="001D4250"/>
    <w:rsid w:val="001E5620"/>
    <w:rsid w:val="001E738D"/>
    <w:rsid w:val="001F1AB8"/>
    <w:rsid w:val="001F2EA2"/>
    <w:rsid w:val="002033F5"/>
    <w:rsid w:val="002054D0"/>
    <w:rsid w:val="002134C8"/>
    <w:rsid w:val="0022340D"/>
    <w:rsid w:val="002302F1"/>
    <w:rsid w:val="002312D4"/>
    <w:rsid w:val="00251184"/>
    <w:rsid w:val="00254B94"/>
    <w:rsid w:val="002614F8"/>
    <w:rsid w:val="0026767E"/>
    <w:rsid w:val="00267EF0"/>
    <w:rsid w:val="002802EE"/>
    <w:rsid w:val="00293319"/>
    <w:rsid w:val="002947C8"/>
    <w:rsid w:val="002A1F14"/>
    <w:rsid w:val="002A4F85"/>
    <w:rsid w:val="002A67BF"/>
    <w:rsid w:val="002B1E5E"/>
    <w:rsid w:val="002B486F"/>
    <w:rsid w:val="002C1950"/>
    <w:rsid w:val="002D0423"/>
    <w:rsid w:val="002D618D"/>
    <w:rsid w:val="002F03D6"/>
    <w:rsid w:val="00304986"/>
    <w:rsid w:val="00322488"/>
    <w:rsid w:val="003344CD"/>
    <w:rsid w:val="00334D96"/>
    <w:rsid w:val="0033537E"/>
    <w:rsid w:val="00336CC8"/>
    <w:rsid w:val="003563A4"/>
    <w:rsid w:val="00367564"/>
    <w:rsid w:val="00373ED4"/>
    <w:rsid w:val="00375DA5"/>
    <w:rsid w:val="00383975"/>
    <w:rsid w:val="003A043C"/>
    <w:rsid w:val="003B0723"/>
    <w:rsid w:val="003B1C77"/>
    <w:rsid w:val="003C064A"/>
    <w:rsid w:val="003C0F98"/>
    <w:rsid w:val="003C5DEF"/>
    <w:rsid w:val="003D3FBB"/>
    <w:rsid w:val="003E1A19"/>
    <w:rsid w:val="003E1CB2"/>
    <w:rsid w:val="003E420C"/>
    <w:rsid w:val="003F3966"/>
    <w:rsid w:val="00406724"/>
    <w:rsid w:val="004336B4"/>
    <w:rsid w:val="00435FB7"/>
    <w:rsid w:val="00444A98"/>
    <w:rsid w:val="00454AD9"/>
    <w:rsid w:val="00475484"/>
    <w:rsid w:val="00482E4E"/>
    <w:rsid w:val="004931B1"/>
    <w:rsid w:val="004A0C7C"/>
    <w:rsid w:val="004A199A"/>
    <w:rsid w:val="004A3ECA"/>
    <w:rsid w:val="004A41CF"/>
    <w:rsid w:val="004A7A30"/>
    <w:rsid w:val="004A7C37"/>
    <w:rsid w:val="004B0543"/>
    <w:rsid w:val="004B2339"/>
    <w:rsid w:val="004B6248"/>
    <w:rsid w:val="004C27BC"/>
    <w:rsid w:val="004C5620"/>
    <w:rsid w:val="004E4BD4"/>
    <w:rsid w:val="004E605D"/>
    <w:rsid w:val="004F62B5"/>
    <w:rsid w:val="005045D1"/>
    <w:rsid w:val="00575FC1"/>
    <w:rsid w:val="005802EB"/>
    <w:rsid w:val="00581093"/>
    <w:rsid w:val="00583866"/>
    <w:rsid w:val="005918A5"/>
    <w:rsid w:val="00591FEE"/>
    <w:rsid w:val="005A41BB"/>
    <w:rsid w:val="005A7F8D"/>
    <w:rsid w:val="005B2905"/>
    <w:rsid w:val="005C36CD"/>
    <w:rsid w:val="005C4B78"/>
    <w:rsid w:val="005C4F1C"/>
    <w:rsid w:val="005D31A6"/>
    <w:rsid w:val="005E58C7"/>
    <w:rsid w:val="005E5986"/>
    <w:rsid w:val="005F28DF"/>
    <w:rsid w:val="005F6347"/>
    <w:rsid w:val="006041EF"/>
    <w:rsid w:val="00611921"/>
    <w:rsid w:val="00614F7F"/>
    <w:rsid w:val="00617202"/>
    <w:rsid w:val="006178E4"/>
    <w:rsid w:val="0062134D"/>
    <w:rsid w:val="006311E4"/>
    <w:rsid w:val="00637F97"/>
    <w:rsid w:val="00650F8F"/>
    <w:rsid w:val="00687056"/>
    <w:rsid w:val="00695E17"/>
    <w:rsid w:val="006A3F93"/>
    <w:rsid w:val="006A4A0A"/>
    <w:rsid w:val="006A6E30"/>
    <w:rsid w:val="006C2ACC"/>
    <w:rsid w:val="006D0087"/>
    <w:rsid w:val="006D78CA"/>
    <w:rsid w:val="006F614A"/>
    <w:rsid w:val="00704E40"/>
    <w:rsid w:val="00720994"/>
    <w:rsid w:val="00735779"/>
    <w:rsid w:val="0075508D"/>
    <w:rsid w:val="00766BB9"/>
    <w:rsid w:val="00771C9D"/>
    <w:rsid w:val="00783990"/>
    <w:rsid w:val="00785967"/>
    <w:rsid w:val="007951A8"/>
    <w:rsid w:val="0079751C"/>
    <w:rsid w:val="007A6D76"/>
    <w:rsid w:val="007B10B2"/>
    <w:rsid w:val="007B2E4D"/>
    <w:rsid w:val="007C6C29"/>
    <w:rsid w:val="007F0079"/>
    <w:rsid w:val="007F11EC"/>
    <w:rsid w:val="007F12DA"/>
    <w:rsid w:val="007F1C14"/>
    <w:rsid w:val="007F292E"/>
    <w:rsid w:val="007F68C4"/>
    <w:rsid w:val="00810512"/>
    <w:rsid w:val="00814EF3"/>
    <w:rsid w:val="008224B6"/>
    <w:rsid w:val="0082469D"/>
    <w:rsid w:val="00837FA5"/>
    <w:rsid w:val="00842838"/>
    <w:rsid w:val="00847E17"/>
    <w:rsid w:val="00866F5C"/>
    <w:rsid w:val="00880007"/>
    <w:rsid w:val="0089768C"/>
    <w:rsid w:val="008B0182"/>
    <w:rsid w:val="008B1FA1"/>
    <w:rsid w:val="008C6054"/>
    <w:rsid w:val="008D3638"/>
    <w:rsid w:val="008D56E5"/>
    <w:rsid w:val="008D5CBC"/>
    <w:rsid w:val="008E3F50"/>
    <w:rsid w:val="008F237F"/>
    <w:rsid w:val="008F36F5"/>
    <w:rsid w:val="00913B7D"/>
    <w:rsid w:val="00925D9E"/>
    <w:rsid w:val="0092650F"/>
    <w:rsid w:val="009279AD"/>
    <w:rsid w:val="009352AE"/>
    <w:rsid w:val="00950560"/>
    <w:rsid w:val="0095327D"/>
    <w:rsid w:val="00953AAB"/>
    <w:rsid w:val="00957065"/>
    <w:rsid w:val="00961732"/>
    <w:rsid w:val="009617C0"/>
    <w:rsid w:val="00986A23"/>
    <w:rsid w:val="00987ACE"/>
    <w:rsid w:val="009A16C1"/>
    <w:rsid w:val="009A5972"/>
    <w:rsid w:val="009A6E15"/>
    <w:rsid w:val="009B64DD"/>
    <w:rsid w:val="009E756B"/>
    <w:rsid w:val="009F0B69"/>
    <w:rsid w:val="009F333F"/>
    <w:rsid w:val="009F407E"/>
    <w:rsid w:val="009F7D37"/>
    <w:rsid w:val="00A012E5"/>
    <w:rsid w:val="00A402C8"/>
    <w:rsid w:val="00A45B22"/>
    <w:rsid w:val="00A614AA"/>
    <w:rsid w:val="00A64966"/>
    <w:rsid w:val="00A73220"/>
    <w:rsid w:val="00A73D39"/>
    <w:rsid w:val="00A775AC"/>
    <w:rsid w:val="00A77B22"/>
    <w:rsid w:val="00A82F01"/>
    <w:rsid w:val="00A84676"/>
    <w:rsid w:val="00A847F9"/>
    <w:rsid w:val="00A911A9"/>
    <w:rsid w:val="00A91F95"/>
    <w:rsid w:val="00AA77B1"/>
    <w:rsid w:val="00AB0937"/>
    <w:rsid w:val="00AD1134"/>
    <w:rsid w:val="00AE4401"/>
    <w:rsid w:val="00B013CC"/>
    <w:rsid w:val="00B063E4"/>
    <w:rsid w:val="00B06467"/>
    <w:rsid w:val="00B33430"/>
    <w:rsid w:val="00B343D8"/>
    <w:rsid w:val="00B605D6"/>
    <w:rsid w:val="00B60A4E"/>
    <w:rsid w:val="00B65DB1"/>
    <w:rsid w:val="00BA2916"/>
    <w:rsid w:val="00BB4B32"/>
    <w:rsid w:val="00BB7F8A"/>
    <w:rsid w:val="00BC0731"/>
    <w:rsid w:val="00BC2146"/>
    <w:rsid w:val="00BC3FFF"/>
    <w:rsid w:val="00BE006D"/>
    <w:rsid w:val="00BE061F"/>
    <w:rsid w:val="00BE3E20"/>
    <w:rsid w:val="00BF3B7B"/>
    <w:rsid w:val="00BF7AE7"/>
    <w:rsid w:val="00C3552F"/>
    <w:rsid w:val="00C637F5"/>
    <w:rsid w:val="00C639CA"/>
    <w:rsid w:val="00C74ACC"/>
    <w:rsid w:val="00C77D0F"/>
    <w:rsid w:val="00C82639"/>
    <w:rsid w:val="00CA6B49"/>
    <w:rsid w:val="00CB7BAE"/>
    <w:rsid w:val="00CC28AD"/>
    <w:rsid w:val="00CC413B"/>
    <w:rsid w:val="00CD5D0C"/>
    <w:rsid w:val="00CE5929"/>
    <w:rsid w:val="00CE6E4E"/>
    <w:rsid w:val="00CF46B5"/>
    <w:rsid w:val="00D078E2"/>
    <w:rsid w:val="00D14737"/>
    <w:rsid w:val="00D14A06"/>
    <w:rsid w:val="00D24E89"/>
    <w:rsid w:val="00D445D2"/>
    <w:rsid w:val="00D46F0D"/>
    <w:rsid w:val="00D75475"/>
    <w:rsid w:val="00D803FB"/>
    <w:rsid w:val="00DA0453"/>
    <w:rsid w:val="00DA085F"/>
    <w:rsid w:val="00DA3DEA"/>
    <w:rsid w:val="00DC0FF3"/>
    <w:rsid w:val="00DC55CB"/>
    <w:rsid w:val="00DD2196"/>
    <w:rsid w:val="00DD66B3"/>
    <w:rsid w:val="00DE0853"/>
    <w:rsid w:val="00DE0921"/>
    <w:rsid w:val="00DE5160"/>
    <w:rsid w:val="00DE664B"/>
    <w:rsid w:val="00DF090C"/>
    <w:rsid w:val="00DF1FCF"/>
    <w:rsid w:val="00DF5986"/>
    <w:rsid w:val="00DF7D46"/>
    <w:rsid w:val="00E1140A"/>
    <w:rsid w:val="00E173E6"/>
    <w:rsid w:val="00E21E2A"/>
    <w:rsid w:val="00E22B12"/>
    <w:rsid w:val="00E30D3A"/>
    <w:rsid w:val="00E32ECA"/>
    <w:rsid w:val="00E33CF8"/>
    <w:rsid w:val="00E37FE5"/>
    <w:rsid w:val="00E5025D"/>
    <w:rsid w:val="00E5042B"/>
    <w:rsid w:val="00E5099F"/>
    <w:rsid w:val="00E52232"/>
    <w:rsid w:val="00E5618A"/>
    <w:rsid w:val="00E5664A"/>
    <w:rsid w:val="00E57E54"/>
    <w:rsid w:val="00E67837"/>
    <w:rsid w:val="00E80E8F"/>
    <w:rsid w:val="00E83AE3"/>
    <w:rsid w:val="00E83E7B"/>
    <w:rsid w:val="00E94162"/>
    <w:rsid w:val="00EB3B52"/>
    <w:rsid w:val="00EB6336"/>
    <w:rsid w:val="00EE46E3"/>
    <w:rsid w:val="00F01655"/>
    <w:rsid w:val="00F40F26"/>
    <w:rsid w:val="00F40F57"/>
    <w:rsid w:val="00F42EDA"/>
    <w:rsid w:val="00F45402"/>
    <w:rsid w:val="00F55286"/>
    <w:rsid w:val="00F57358"/>
    <w:rsid w:val="00F65F37"/>
    <w:rsid w:val="00F6698A"/>
    <w:rsid w:val="00F84BCE"/>
    <w:rsid w:val="00F85741"/>
    <w:rsid w:val="00F90A07"/>
    <w:rsid w:val="00F90F5A"/>
    <w:rsid w:val="00F9209E"/>
    <w:rsid w:val="00F96651"/>
    <w:rsid w:val="00FA1EEE"/>
    <w:rsid w:val="00FA5928"/>
    <w:rsid w:val="00FA662B"/>
    <w:rsid w:val="00FB0BB5"/>
    <w:rsid w:val="00FC3DA9"/>
    <w:rsid w:val="00FE6920"/>
    <w:rsid w:val="00FE7B56"/>
    <w:rsid w:val="00FF53DC"/>
    <w:rsid w:val="00FF5830"/>
    <w:rsid w:val="00FF695E"/>
    <w:rsid w:val="04187B29"/>
    <w:rsid w:val="04A94E1E"/>
    <w:rsid w:val="04E6D8D9"/>
    <w:rsid w:val="07FF4FE7"/>
    <w:rsid w:val="0B19CA74"/>
    <w:rsid w:val="0BC38771"/>
    <w:rsid w:val="0CD5F87D"/>
    <w:rsid w:val="1158ECF4"/>
    <w:rsid w:val="15A4FA00"/>
    <w:rsid w:val="194B322A"/>
    <w:rsid w:val="1977BB09"/>
    <w:rsid w:val="1EA65061"/>
    <w:rsid w:val="2224155B"/>
    <w:rsid w:val="27847C7A"/>
    <w:rsid w:val="408164E2"/>
    <w:rsid w:val="426C8C7A"/>
    <w:rsid w:val="4B2D0E3E"/>
    <w:rsid w:val="4DA8471F"/>
    <w:rsid w:val="572545FC"/>
    <w:rsid w:val="5909E93B"/>
    <w:rsid w:val="614EA696"/>
    <w:rsid w:val="6266CE6A"/>
    <w:rsid w:val="6BE8030F"/>
    <w:rsid w:val="71E508E0"/>
    <w:rsid w:val="731450B0"/>
    <w:rsid w:val="736804B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48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pl-PL"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pl-PL" w:eastAsia="en-US"/>
    </w:rPr>
  </w:style>
  <w:style w:type="character" w:customStyle="1" w:styleId="Heading3Char">
    <w:name w:val="Heading 3 Char"/>
    <w:basedOn w:val="DefaultParagraphFont"/>
    <w:link w:val="Heading3"/>
    <w:uiPriority w:val="9"/>
    <w:rsid w:val="009D66A8"/>
    <w:rPr>
      <w:rFonts w:asciiTheme="majorHAnsi" w:eastAsiaTheme="majorEastAsia" w:hAnsiTheme="majorHAnsi" w:cstheme="majorBidi"/>
      <w:b/>
      <w:bCs/>
      <w:color w:val="4F81BD" w:themeColor="accent1"/>
      <w:sz w:val="22"/>
      <w:lang w:val="pl-PL"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pl-PL"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pl-PL"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pl-PL"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pl-PL"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pl-PL"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pl-PL"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val="pl-PL" w:eastAsia="en-US"/>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rPr>
      <w:lang w:val="pl-PL"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val="pl-PL"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rsid w:val="00847E17"/>
    <w:rPr>
      <w:sz w:val="24"/>
      <w:vertAlign w:val="superscript"/>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D46F0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46F0D"/>
    <w:rPr>
      <w:rFonts w:ascii="Tahoma" w:hAnsi="Tahoma" w:cs="Tahoma"/>
      <w:sz w:val="16"/>
      <w:szCs w:val="16"/>
      <w:lang w:val="pl-PL" w:eastAsia="en-US"/>
    </w:rPr>
  </w:style>
  <w:style w:type="paragraph" w:customStyle="1" w:styleId="LOGO">
    <w:name w:val="LOGO"/>
    <w:basedOn w:val="Normal"/>
    <w:pPr>
      <w:jc w:val="center"/>
    </w:pPr>
    <w:rPr>
      <w:rFonts w:ascii="Arial" w:hAnsi="Arial"/>
      <w:b/>
      <w:i/>
      <w:sz w:val="20"/>
    </w:rPr>
  </w:style>
  <w:style w:type="paragraph" w:styleId="NormalWeb">
    <w:name w:val="Normal (Web)"/>
    <w:basedOn w:val="Normal"/>
    <w:uiPriority w:val="99"/>
    <w:unhideWhenUsed/>
    <w:rsid w:val="004931B1"/>
    <w:pPr>
      <w:overflowPunct/>
      <w:autoSpaceDE/>
      <w:autoSpaceDN/>
      <w:adjustRightInd/>
      <w:spacing w:before="100" w:beforeAutospacing="1" w:after="100" w:afterAutospacing="1" w:line="240" w:lineRule="auto"/>
      <w:jc w:val="left"/>
      <w:textAlignment w:val="auto"/>
    </w:pPr>
    <w:rPr>
      <w:sz w:val="24"/>
      <w:szCs w:val="24"/>
      <w:lang w:eastAsia="en-GB"/>
    </w:rPr>
  </w:style>
  <w:style w:type="character" w:customStyle="1" w:styleId="relative">
    <w:name w:val="relative"/>
    <w:basedOn w:val="DefaultParagraphFont"/>
    <w:rsid w:val="004931B1"/>
  </w:style>
  <w:style w:type="paragraph" w:styleId="ListParagraph">
    <w:name w:val="List Paragraph"/>
    <w:basedOn w:val="Normal"/>
    <w:uiPriority w:val="34"/>
    <w:qFormat/>
    <w:rsid w:val="004931B1"/>
    <w:pPr>
      <w:ind w:left="720"/>
      <w:contextualSpacing/>
    </w:pPr>
  </w:style>
  <w:style w:type="character" w:customStyle="1" w:styleId="UnresolvedMention1">
    <w:name w:val="Unresolved Mention1"/>
    <w:basedOn w:val="DefaultParagraphFont"/>
    <w:uiPriority w:val="99"/>
    <w:semiHidden/>
    <w:unhideWhenUsed/>
    <w:rsid w:val="001B77F8"/>
    <w:rPr>
      <w:color w:val="605E5C"/>
      <w:shd w:val="clear" w:color="auto" w:fill="E1DFDD"/>
    </w:rPr>
  </w:style>
  <w:style w:type="character" w:styleId="PageNumber">
    <w:name w:val="page number"/>
    <w:basedOn w:val="DefaultParagraphFont"/>
    <w:semiHidden/>
    <w:unhideWhenUsed/>
    <w:rsid w:val="009A5972"/>
  </w:style>
  <w:style w:type="paragraph" w:styleId="Revision">
    <w:name w:val="Revision"/>
    <w:hidden/>
    <w:uiPriority w:val="99"/>
    <w:semiHidden/>
    <w:rsid w:val="004C5620"/>
    <w:rPr>
      <w:sz w:val="22"/>
      <w:lang w:eastAsia="en-US"/>
    </w:rPr>
  </w:style>
  <w:style w:type="character" w:styleId="CommentReference">
    <w:name w:val="annotation reference"/>
    <w:basedOn w:val="DefaultParagraphFont"/>
    <w:semiHidden/>
    <w:unhideWhenUsed/>
    <w:rsid w:val="004C5620"/>
    <w:rPr>
      <w:sz w:val="16"/>
      <w:szCs w:val="16"/>
    </w:rPr>
  </w:style>
  <w:style w:type="paragraph" w:styleId="CommentText">
    <w:name w:val="annotation text"/>
    <w:basedOn w:val="Normal"/>
    <w:link w:val="CommentTextChar"/>
    <w:unhideWhenUsed/>
    <w:rsid w:val="004C5620"/>
    <w:pPr>
      <w:spacing w:line="240" w:lineRule="auto"/>
    </w:pPr>
    <w:rPr>
      <w:sz w:val="20"/>
    </w:rPr>
  </w:style>
  <w:style w:type="character" w:customStyle="1" w:styleId="CommentTextChar">
    <w:name w:val="Comment Text Char"/>
    <w:basedOn w:val="DefaultParagraphFont"/>
    <w:link w:val="CommentText"/>
    <w:rsid w:val="004C5620"/>
    <w:rPr>
      <w:lang w:val="pl-PL" w:eastAsia="en-US"/>
    </w:rPr>
  </w:style>
  <w:style w:type="paragraph" w:styleId="CommentSubject">
    <w:name w:val="annotation subject"/>
    <w:basedOn w:val="CommentText"/>
    <w:next w:val="CommentText"/>
    <w:link w:val="CommentSubjectChar"/>
    <w:semiHidden/>
    <w:unhideWhenUsed/>
    <w:rsid w:val="004C5620"/>
    <w:rPr>
      <w:b/>
      <w:bCs/>
    </w:rPr>
  </w:style>
  <w:style w:type="character" w:customStyle="1" w:styleId="CommentSubjectChar">
    <w:name w:val="Comment Subject Char"/>
    <w:basedOn w:val="CommentTextChar"/>
    <w:link w:val="CommentSubject"/>
    <w:semiHidden/>
    <w:rsid w:val="004C5620"/>
    <w:rPr>
      <w:b/>
      <w:bCs/>
      <w:lang w:val="pl-PL"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memportal.cor.europa.eu/"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portal.cor.europa.eu/" TargetMode="Externa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ruralpact.rural-vision.europa.eu/sites/default/files/publications/2025-01/RPCG-Joint-Declaration_250114.pdf" TargetMode="External"/><Relationship Id="rId2" Type="http://schemas.openxmlformats.org/officeDocument/2006/relationships/hyperlink" Target="https://rural-vision.europa.eu/action-plan/cross-cutting/rural-proofing_en" TargetMode="External"/><Relationship Id="rId1" Type="http://schemas.openxmlformats.org/officeDocument/2006/relationships/hyperlink" Target="https://op.europa.eu/pl/publication-detail/-/publication/959487c4-38e5-11ef-b441-01aa75ed71a1" TargetMode="External"/><Relationship Id="rId4" Type="http://schemas.openxmlformats.org/officeDocument/2006/relationships/hyperlink" Target="https://ec.europa.eu/eurostat/web/degree-of-urbanisation/information-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3WJDCDQUXNHJ-974662433-1532</_dlc_DocId>
    <_dlc_DocIdUrl xmlns="28cf4dd3-9bb7-4441-a43c-55eeac69d3a9">
      <Url>http://dm/cor/2025/_layouts/15/DocIdRedir.aspx?ID=3WJDCDQUXNHJ-974662433-1532</Url>
      <Description>3WJDCDQUXNHJ-974662433-1532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2026-01-13T12:00:00+00:00</ProductionDate>
    <DocumentNumber xmlns="40d34976-3f3e-4aee-aa1d-cd08ee693468">4256</DocumentNumber>
    <FicheYear xmlns="28cf4dd3-9bb7-4441-a43c-55eeac69d3a9" xsi:nil="true"/>
    <DossierNumber xmlns="28cf4dd3-9bb7-4441-a43c-55eeac69d3a9">19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2026-02-04T12:00:00+00:00</MeetingDate>
    <TaxCatchAll xmlns="28cf4dd3-9bb7-4441-a43c-55eeac69d3a9">
      <Value>87</Value>
      <Value>84</Value>
      <Value>49</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28cf4dd3-9bb7-4441-a43c-55eeac69d3a9">SRŠEŇ</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298280</FicheNumber>
    <OriginalSender xmlns="28cf4dd3-9bb7-4441-a43c-55eeac69d3a9">
      <UserInfo>
        <DisplayName>Kosim-Basimoglu Anna</DisplayName>
        <AccountId>1489</AccountId>
        <AccountType/>
      </UserInfo>
    </OriginalSender>
    <DocumentPart xmlns="28cf4dd3-9bb7-4441-a43c-55eeac69d3a9">0</DocumentPart>
    <AdoptionDate xmlns="28cf4dd3-9bb7-4441-a43c-55eeac69d3a9" xsi:nil="true"/>
    <RequestingService xmlns="28cf4dd3-9bb7-4441-a43c-55eeac69d3a9">Commission NAT</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6c02d25c-0a9a-43f1-8a7a-37df8e0815ce</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0d34976-3f3e-4aee-aa1d-cd08ee69346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389BF32A41030640BE716383420B52A6" ma:contentTypeVersion="4" ma:contentTypeDescription="Defines the documents for Document Manager V2" ma:contentTypeScope="" ma:versionID="042b99dcff4a887fba2645cafa2aa06d">
  <xsd:schema xmlns:xsd="http://www.w3.org/2001/XMLSchema" xmlns:xs="http://www.w3.org/2001/XMLSchema" xmlns:p="http://schemas.microsoft.com/office/2006/metadata/properties" xmlns:ns2="28cf4dd3-9bb7-4441-a43c-55eeac69d3a9" xmlns:ns3="http://schemas.microsoft.com/sharepoint/v3/fields" xmlns:ns4="40d34976-3f3e-4aee-aa1d-cd08ee693468" targetNamespace="http://schemas.microsoft.com/office/2006/metadata/properties" ma:root="true" ma:fieldsID="09a38faafbac82874c74f6aedb37fd5a" ns2:_="" ns3:_="" ns4:_="">
    <xsd:import namespace="28cf4dd3-9bb7-4441-a43c-55eeac69d3a9"/>
    <xsd:import namespace="http://schemas.microsoft.com/sharepoint/v3/fields"/>
    <xsd:import namespace="40d34976-3f3e-4aee-aa1d-cd08ee69346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d34976-3f3e-4aee-aa1d-cd08ee69346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C0B1F-3E03-4513-A1ED-8E0F1B9253AB}">
  <ds:schemaRefs>
    <ds:schemaRef ds:uri="http://schemas.microsoft.com/office/2006/metadata/properties"/>
    <ds:schemaRef ds:uri="http://schemas.microsoft.com/office/infopath/2007/PartnerControls"/>
    <ds:schemaRef ds:uri="28cf4dd3-9bb7-4441-a43c-55eeac69d3a9"/>
    <ds:schemaRef ds:uri="http://schemas.microsoft.com/sharepoint/v3/fields"/>
    <ds:schemaRef ds:uri="40d34976-3f3e-4aee-aa1d-cd08ee693468"/>
  </ds:schemaRefs>
</ds:datastoreItem>
</file>

<file path=customXml/itemProps2.xml><?xml version="1.0" encoding="utf-8"?>
<ds:datastoreItem xmlns:ds="http://schemas.openxmlformats.org/officeDocument/2006/customXml" ds:itemID="{5E8E4218-2259-4E8F-808E-A8182407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4dd3-9bb7-4441-a43c-55eeac69d3a9"/>
    <ds:schemaRef ds:uri="http://schemas.microsoft.com/sharepoint/v3/fields"/>
    <ds:schemaRef ds:uri="40d34976-3f3e-4aee-aa1d-cd08ee69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515FE-2824-4276-B441-060959A0179C}">
  <ds:schemaRefs>
    <ds:schemaRef ds:uri="http://schemas.microsoft.com/sharepoint/events"/>
  </ds:schemaRefs>
</ds:datastoreItem>
</file>

<file path=customXml/itemProps4.xml><?xml version="1.0" encoding="utf-8"?>
<ds:datastoreItem xmlns:ds="http://schemas.openxmlformats.org/officeDocument/2006/customXml" ds:itemID="{3748334F-6AD1-4322-9EBC-E2A6D39EC8F1}">
  <ds:schemaRefs>
    <ds:schemaRef ds:uri="http://schemas.openxmlformats.org/officeDocument/2006/bibliography"/>
  </ds:schemaRefs>
</ds:datastoreItem>
</file>

<file path=customXml/itemProps5.xml><?xml version="1.0" encoding="utf-8"?>
<ds:datastoreItem xmlns:ds="http://schemas.openxmlformats.org/officeDocument/2006/customXml" ds:itemID="{7A79E533-67B1-40A6-807C-100A6E5117A3}">
  <ds:schemaRefs>
    <ds:schemaRef ds:uri="http://schemas.microsoft.com/sharepoint/v3/contenttype/form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2861</Words>
  <Characters>15739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CoR PA new model</vt:lpstr>
    </vt:vector>
  </TitlesOfParts>
  <Manager/>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rozwoju obszarów wiejskich po roku 2028</dc:title>
  <dc:subject>Draft opinion</dc:subject>
  <dc:creator/>
  <cp:keywords>COR-2025-04256-00-00-PA-TRA-EN</cp:keywords>
  <dc:description>Rapporteur: - SRŠEŇ Original language: - EN Date of document: - 07/01/2026 Date of meeting: - 04/02/2026 External documents: -  Administrator responsible: -  PIRAS PIERPAOLO</dc:description>
  <cp:lastModifiedBy/>
  <cp:revision>1</cp:revision>
  <cp:lastPrinted>2007-01-10T10:43:00Z</cp:lastPrinted>
  <dcterms:created xsi:type="dcterms:W3CDTF">2026-01-29T14:10:00Z</dcterms:created>
  <dcterms:modified xsi:type="dcterms:W3CDTF">2026-01-29T14:10:00Z</dcterms:modified>
  <cp:category>NAT-VIII/19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08/01/2026, 07/01/2026, 21/06/2024</vt:lpwstr>
  </property>
  <property fmtid="{D5CDD505-2E9C-101B-9397-08002B2CF9AE}" pid="4" name="Pref_Time">
    <vt:lpwstr>13:40:29, 10:50:49, 12:40:47</vt:lpwstr>
  </property>
  <property fmtid="{D5CDD505-2E9C-101B-9397-08002B2CF9AE}" pid="5" name="Pref_User">
    <vt:lpwstr>jhvi, pacup, enied</vt:lpwstr>
  </property>
  <property fmtid="{D5CDD505-2E9C-101B-9397-08002B2CF9AE}" pid="6" name="Pref_FileName">
    <vt:lpwstr>COR-2025-04256-00-01-PA-ORI.docx, COR-2025-04256-00-00-PA-TRA-EN-CRR.docx, COR-EESC-2024-02227-03-00-TCD-ORI.docx</vt:lpwstr>
  </property>
  <property fmtid="{D5CDD505-2E9C-101B-9397-08002B2CF9AE}" pid="7" name="ContentTypeId">
    <vt:lpwstr>0x010100EA97B91038054C99906057A708A1480A00389BF32A41030640BE716383420B52A6</vt:lpwstr>
  </property>
  <property fmtid="{D5CDD505-2E9C-101B-9397-08002B2CF9AE}" pid="8" name="_dlc_DocIdItemGuid">
    <vt:lpwstr>c1439ef6-082d-475f-82d9-017325df9a39</vt:lpwstr>
  </property>
  <property fmtid="{D5CDD505-2E9C-101B-9397-08002B2CF9AE}" pid="9" name="AvailableTranslations">
    <vt:lpwstr>19;#FR|d2afafd3-4c81-4f60-8f52-ee33f2f54ff3;#20;#PL|1e03da61-4678-4e07-b136-b5024ca9197b;#14;#RO|feb747a2-64cd-4299-af12-4833ddc30497;#25;#DA|5d49c027-8956-412b-aa16-e85a0f96ad0e;#30;#FI|87606a43-d45f-42d6-b8c9-e1a3457db5b7;#26;#HU|6b229040-c589-4408-b4c1-4285663d20a8;#22;#IT|0774613c-01ed-4e5d-a25d-11d2388de825;#37;#BG|1a1b3951-7821-4e6a-85f5-5673fc08bd2c;#4;#EN|f2175f21-25d7-44a3-96da-d6a61b075e1b;#36;#GA|762d2456-c427-4ecb-b312-af3dad8e258c;#12;#LT|a7ff5ce7-6123-4f68-865a-a57c31810414;#29;#SL|98a412ae-eb01-49e9-ae3d-585a81724cfc;#35;#ET|ff6c3f4c-b02c-4c3c-ab07-2c37995a7a0a;#34;#EL|6d4f4d51-af9b-4650-94b4-4276bee85c91;#28;#CS|72f9705b-0217-4fd3-bea2-cbc7ed80e26e;#15;#DE|f6b31e5a-26fa-4935-b661-318e46daf27e;#24;#ES|e7a6b05b-ae16-40c8-add9-68b64b03aeba;#13;#SK|46d9fce0-ef79-4f71-b89b-cd6aa82426b8;#21;#SV|c2ed69e7-a339-43d7-8f22-d93680a92aa0;#23;#PT|50ccc04a-eadd-42ae-a0cb-acaf45f812ba;#27;#LV|46f7e311-5d9f-4663-b433-18aeccb7ace7;#33;#MT|7df99101-6854-4a26-b53a-b88c0da02c26;#16;#NL|55c6556c-b4f4-441d-9acf-c498d4f838bd;#31;#HR|2f555653-ed1a-4fe6-8362-9082d95989e5</vt:lpwstr>
  </property>
  <property fmtid="{D5CDD505-2E9C-101B-9397-08002B2CF9AE}" pid="10" name="DocumentType_0">
    <vt:lpwstr>PA|ef6fd07e-7d84-45ad-8a75-9a9414a8759c</vt:lpwstr>
  </property>
  <property fmtid="{D5CDD505-2E9C-101B-9397-08002B2CF9AE}" pid="11" name="MeetingNumber">
    <vt:i4>7</vt:i4>
  </property>
  <property fmtid="{D5CDD505-2E9C-101B-9397-08002B2CF9AE}" pid="12" name="DossierName_0">
    <vt:lpwstr>NAT-VIII|e9d53e03-0a8a-4e5b-8cd8-cbd8a711451b</vt:lpwstr>
  </property>
  <property fmtid="{D5CDD505-2E9C-101B-9397-08002B2CF9AE}" pid="13" name="DocumentSource_0">
    <vt:lpwstr>CoR|cb2d75ef-4a7d-4393-b797-49ed6298a5ea</vt:lpwstr>
  </property>
  <property fmtid="{D5CDD505-2E9C-101B-9397-08002B2CF9AE}" pid="14" name="DocumentNumber">
    <vt:i4>4256</vt:i4>
  </property>
  <property fmtid="{D5CDD505-2E9C-101B-9397-08002B2CF9AE}" pid="15" name="FicheYear">
    <vt:i4>2025</vt:i4>
  </property>
  <property fmtid="{D5CDD505-2E9C-101B-9397-08002B2CF9AE}" pid="16" name="DocumentVersion">
    <vt:i4>1</vt:i4>
  </property>
  <property fmtid="{D5CDD505-2E9C-101B-9397-08002B2CF9AE}" pid="17" name="DossierNumber">
    <vt:i4>19</vt:i4>
  </property>
  <property fmtid="{D5CDD505-2E9C-101B-9397-08002B2CF9AE}" pid="18" name="DocumentStatus">
    <vt:lpwstr>8;#TRA|150d2a88-1431-44e6-a8ca-0bb753ab8672</vt:lpwstr>
  </property>
  <property fmtid="{D5CDD505-2E9C-101B-9397-08002B2CF9AE}" pid="19" name="DossierName">
    <vt:lpwstr>84;#NAT-VIII|e9d53e03-0a8a-4e5b-8cd8-cbd8a711451b</vt:lpwstr>
  </property>
  <property fmtid="{D5CDD505-2E9C-101B-9397-08002B2CF9AE}" pid="20" name="RequestingService">
    <vt:lpwstr>Commission NAT</vt:lpwstr>
  </property>
  <property fmtid="{D5CDD505-2E9C-101B-9397-08002B2CF9AE}" pid="21" name="Confidentiality">
    <vt:lpwstr>10;#Unrestricted|826e22d7-d029-4ec0-a450-0c28ff673572</vt:lpwstr>
  </property>
  <property fmtid="{D5CDD505-2E9C-101B-9397-08002B2CF9AE}" pid="22" name="MeetingName_0">
    <vt:lpwstr>NAT-VIII|6c02d25c-0a9a-43f1-8a7a-37df8e0815ce</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87;#NAT-VIII|6c02d25c-0a9a-43f1-8a7a-37df8e0815ce</vt:lpwstr>
  </property>
  <property fmtid="{D5CDD505-2E9C-101B-9397-08002B2CF9AE}" pid="26" name="MeetingDate">
    <vt:filetime>2026-02-04T12:00:00Z</vt:filetime>
  </property>
  <property fmtid="{D5CDD505-2E9C-101B-9397-08002B2CF9AE}" pid="27" name="AvailableTranslations_0">
    <vt:lpwstr>EN|f2175f21-25d7-44a3-96da-d6a61b075e1b;DE|f6b31e5a-26fa-4935-b661-318e46daf27e;SK|46d9fce0-ef79-4f71-b89b-cd6aa82426b8;HR|2f555653-ed1a-4fe6-8362-9082d95989e5</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84;#NAT-VIII|e9d53e03-0a8a-4e5b-8cd8-cbd8a711451b;#49;#PA|ef6fd07e-7d84-45ad-8a75-9a9414a8759c;#31;#HR|2f555653-ed1a-4fe6-8362-9082d95989e5;#13;#SK|46d9fce0-ef79-4f71-b89b-cd6aa82426b8;#10;#Unrestricted|826e22d7-d029-4ec0-a450-0c28ff673572;#8;#TRA|150d2a88-1431-44e6-a8ca-0bb753ab8672;#6;#Final|ea5e6674-7b27-4bac-b091-73adbb394efe;#15;#DE|f6b31e5a-26fa-4935-b661-318e46daf27e;#4;#EN|f2175f21-25d7-44a3-96da-d6a61b075e1b;#87;#NAT-VIII|6c02d25c-0a9a-43f1-8a7a-37df8e0815ce;#1;#CoR|cb2d75ef-4a7d-4393-b797-49ed6298a5ea</vt:lpwstr>
  </property>
  <property fmtid="{D5CDD505-2E9C-101B-9397-08002B2CF9AE}" pid="31" name="Rapporteur">
    <vt:lpwstr>SRŠEŇ</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2025</vt:i4>
  </property>
  <property fmtid="{D5CDD505-2E9C-101B-9397-08002B2CF9AE}" pid="35" name="FicheNumber">
    <vt:i4>298280</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8" name="DocumentType">
    <vt:lpwstr>49;#PA|ef6fd07e-7d84-45ad-8a75-9a9414a8759c</vt:lpwstr>
  </property>
  <property fmtid="{D5CDD505-2E9C-101B-9397-08002B2CF9AE}" pid="39" name="DocumentLanguage">
    <vt:lpwstr>20;#PL|1e03da61-4678-4e07-b136-b5024ca9197b</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