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B16E" w14:textId="11804538" w:rsidR="00E756E0" w:rsidRPr="009C3759" w:rsidRDefault="00B43B00" w:rsidP="00512F0F">
      <w:pPr>
        <w:jc w:val="center"/>
        <w:rPr>
          <w:rFonts w:ascii="Titillium Web" w:hAnsi="Titillium Web"/>
          <w:b/>
          <w:bCs/>
          <w:sz w:val="20"/>
          <w:szCs w:val="20"/>
        </w:rPr>
      </w:pPr>
      <w:r>
        <w:rPr>
          <w:rFonts w:ascii="Titillium Web" w:hAnsi="Titillium Web"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85A050A" wp14:editId="0F1B095B">
            <wp:simplePos x="0" y="0"/>
            <wp:positionH relativeFrom="column">
              <wp:posOffset>159385</wp:posOffset>
            </wp:positionH>
            <wp:positionV relativeFrom="paragraph">
              <wp:posOffset>374650</wp:posOffset>
            </wp:positionV>
            <wp:extent cx="6210300" cy="1467000"/>
            <wp:effectExtent l="0" t="0" r="0" b="0"/>
            <wp:wrapTopAndBottom/>
            <wp:docPr id="6333051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305120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4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6E0">
        <w:rPr>
          <w:rFonts w:ascii="Titillium Web" w:hAnsi="Titillium Web"/>
          <w:sz w:val="20"/>
          <w:szCs w:val="20"/>
        </w:rPr>
        <w:t>29</w:t>
      </w:r>
      <w:r w:rsidR="00E756E0" w:rsidRPr="009C3759">
        <w:rPr>
          <w:rFonts w:ascii="Titillium Web" w:hAnsi="Titillium Web"/>
          <w:sz w:val="20"/>
          <w:szCs w:val="20"/>
        </w:rPr>
        <w:t xml:space="preserve">. </w:t>
      </w:r>
      <w:r>
        <w:rPr>
          <w:rFonts w:ascii="Titillium Web" w:hAnsi="Titillium Web"/>
          <w:sz w:val="20"/>
          <w:szCs w:val="20"/>
        </w:rPr>
        <w:t>Kongres Ochrony Środowiska ENVICON 02-03.12.2025 r. / Łódź</w:t>
      </w:r>
    </w:p>
    <w:p w14:paraId="047DD7C8" w14:textId="14611B66" w:rsidR="001C31A5" w:rsidRDefault="001C31A5" w:rsidP="00512F0F">
      <w:pPr>
        <w:rPr>
          <w:rFonts w:ascii="Titillium Web" w:hAnsi="Titillium Web"/>
          <w:sz w:val="20"/>
          <w:szCs w:val="20"/>
        </w:rPr>
      </w:pPr>
    </w:p>
    <w:p w14:paraId="12295231" w14:textId="77777777" w:rsidR="006478F1" w:rsidRPr="006478F1" w:rsidRDefault="006478F1" w:rsidP="006478F1">
      <w:pPr>
        <w:spacing w:after="0"/>
        <w:rPr>
          <w:rFonts w:ascii="Titillium Web" w:hAnsi="Titillium Web"/>
          <w:sz w:val="20"/>
          <w:szCs w:val="20"/>
        </w:rPr>
      </w:pPr>
      <w:r w:rsidRPr="006478F1">
        <w:rPr>
          <w:rFonts w:ascii="Titillium Web" w:hAnsi="Titillium Web"/>
          <w:sz w:val="20"/>
          <w:szCs w:val="20"/>
        </w:rPr>
        <w:t>Szanowni Państwo,</w:t>
      </w:r>
    </w:p>
    <w:p w14:paraId="5642E1F0" w14:textId="77777777" w:rsidR="006478F1" w:rsidRPr="006478F1" w:rsidRDefault="006478F1" w:rsidP="006478F1">
      <w:pPr>
        <w:spacing w:after="0"/>
        <w:rPr>
          <w:rFonts w:ascii="Titillium Web" w:hAnsi="Titillium Web"/>
          <w:sz w:val="20"/>
          <w:szCs w:val="20"/>
        </w:rPr>
      </w:pPr>
    </w:p>
    <w:p w14:paraId="5EE2A09B" w14:textId="77777777" w:rsidR="006478F1" w:rsidRPr="006478F1" w:rsidRDefault="006478F1" w:rsidP="006478F1">
      <w:pPr>
        <w:spacing w:after="0"/>
        <w:rPr>
          <w:rFonts w:ascii="Titillium Web" w:hAnsi="Titillium Web"/>
          <w:b/>
          <w:bCs/>
          <w:sz w:val="20"/>
          <w:szCs w:val="20"/>
        </w:rPr>
      </w:pPr>
      <w:r w:rsidRPr="006478F1">
        <w:rPr>
          <w:rFonts w:ascii="Titillium Web" w:hAnsi="Titillium Web"/>
          <w:sz w:val="20"/>
          <w:szCs w:val="20"/>
        </w:rPr>
        <w:t xml:space="preserve">zapraszamy do udziału w </w:t>
      </w:r>
      <w:r w:rsidRPr="006478F1">
        <w:rPr>
          <w:rFonts w:ascii="Titillium Web" w:hAnsi="Titillium Web"/>
          <w:b/>
          <w:bCs/>
          <w:sz w:val="20"/>
          <w:szCs w:val="20"/>
        </w:rPr>
        <w:t>29. Kongresie Ochrony Środowiska ENVICON</w:t>
      </w:r>
      <w:r w:rsidRPr="006478F1">
        <w:rPr>
          <w:rFonts w:ascii="Titillium Web" w:hAnsi="Titillium Web"/>
          <w:sz w:val="20"/>
          <w:szCs w:val="20"/>
        </w:rPr>
        <w:t xml:space="preserve">, który odbędzie się </w:t>
      </w:r>
      <w:r w:rsidRPr="006478F1">
        <w:rPr>
          <w:rFonts w:ascii="Titillium Web" w:hAnsi="Titillium Web"/>
          <w:b/>
          <w:bCs/>
          <w:sz w:val="20"/>
          <w:szCs w:val="20"/>
        </w:rPr>
        <w:t xml:space="preserve">2–3 grudnia 2025 r. w Hotelu </w:t>
      </w:r>
      <w:proofErr w:type="spellStart"/>
      <w:r w:rsidRPr="006478F1">
        <w:rPr>
          <w:rFonts w:ascii="Titillium Web" w:hAnsi="Titillium Web"/>
          <w:b/>
          <w:bCs/>
          <w:sz w:val="20"/>
          <w:szCs w:val="20"/>
        </w:rPr>
        <w:t>Vienna</w:t>
      </w:r>
      <w:proofErr w:type="spellEnd"/>
      <w:r w:rsidRPr="006478F1">
        <w:rPr>
          <w:rFonts w:ascii="Titillium Web" w:hAnsi="Titillium Web"/>
          <w:b/>
          <w:bCs/>
          <w:sz w:val="20"/>
          <w:szCs w:val="20"/>
        </w:rPr>
        <w:t xml:space="preserve"> House by </w:t>
      </w:r>
      <w:proofErr w:type="spellStart"/>
      <w:r w:rsidRPr="006478F1">
        <w:rPr>
          <w:rFonts w:ascii="Titillium Web" w:hAnsi="Titillium Web"/>
          <w:b/>
          <w:bCs/>
          <w:sz w:val="20"/>
          <w:szCs w:val="20"/>
        </w:rPr>
        <w:t>Wyndham</w:t>
      </w:r>
      <w:proofErr w:type="spellEnd"/>
      <w:r w:rsidRPr="006478F1">
        <w:rPr>
          <w:rFonts w:ascii="Titillium Web" w:hAnsi="Titillium Web"/>
          <w:b/>
          <w:bCs/>
          <w:sz w:val="20"/>
          <w:szCs w:val="20"/>
        </w:rPr>
        <w:t xml:space="preserve"> </w:t>
      </w:r>
      <w:proofErr w:type="spellStart"/>
      <w:r w:rsidRPr="006478F1">
        <w:rPr>
          <w:rFonts w:ascii="Titillium Web" w:hAnsi="Titillium Web"/>
          <w:b/>
          <w:bCs/>
          <w:sz w:val="20"/>
          <w:szCs w:val="20"/>
        </w:rPr>
        <w:t>Andel’s</w:t>
      </w:r>
      <w:proofErr w:type="spellEnd"/>
      <w:r w:rsidRPr="006478F1">
        <w:rPr>
          <w:rFonts w:ascii="Titillium Web" w:hAnsi="Titillium Web"/>
          <w:b/>
          <w:bCs/>
          <w:sz w:val="20"/>
          <w:szCs w:val="20"/>
        </w:rPr>
        <w:t xml:space="preserve"> w Łodzi.</w:t>
      </w:r>
    </w:p>
    <w:p w14:paraId="37385425" w14:textId="77777777" w:rsidR="006478F1" w:rsidRPr="006478F1" w:rsidRDefault="006478F1" w:rsidP="006478F1">
      <w:pPr>
        <w:spacing w:after="0"/>
        <w:rPr>
          <w:rFonts w:ascii="Titillium Web" w:hAnsi="Titillium Web"/>
          <w:sz w:val="20"/>
          <w:szCs w:val="20"/>
        </w:rPr>
      </w:pPr>
    </w:p>
    <w:p w14:paraId="45422C06" w14:textId="46AC40E1" w:rsidR="006478F1" w:rsidRDefault="00441CEA" w:rsidP="005A7EE7">
      <w:pPr>
        <w:spacing w:after="0"/>
        <w:jc w:val="both"/>
        <w:rPr>
          <w:rFonts w:ascii="Titillium Web" w:hAnsi="Titillium Web"/>
          <w:sz w:val="20"/>
          <w:szCs w:val="20"/>
        </w:rPr>
      </w:pPr>
      <w:r w:rsidRPr="00441CEA">
        <w:rPr>
          <w:rFonts w:ascii="Titillium Web" w:hAnsi="Titillium Web"/>
          <w:sz w:val="20"/>
          <w:szCs w:val="20"/>
        </w:rPr>
        <w:t>Tegoroczna edycja Kongresu</w:t>
      </w:r>
      <w:r w:rsidR="00760A5B">
        <w:rPr>
          <w:rFonts w:ascii="Titillium Web" w:hAnsi="Titillium Web"/>
          <w:sz w:val="20"/>
          <w:szCs w:val="20"/>
        </w:rPr>
        <w:t xml:space="preserve"> w znaczącym stopniu</w:t>
      </w:r>
      <w:r w:rsidRPr="00441CEA">
        <w:rPr>
          <w:rFonts w:ascii="Titillium Web" w:hAnsi="Titillium Web"/>
          <w:sz w:val="20"/>
          <w:szCs w:val="20"/>
        </w:rPr>
        <w:t xml:space="preserve"> jest </w:t>
      </w:r>
      <w:r w:rsidRPr="00441CEA">
        <w:rPr>
          <w:rFonts w:ascii="Titillium Web" w:hAnsi="Titillium Web"/>
          <w:b/>
          <w:bCs/>
          <w:sz w:val="20"/>
          <w:szCs w:val="20"/>
        </w:rPr>
        <w:t>dedykowana samorz</w:t>
      </w:r>
      <w:r w:rsidRPr="00441CEA">
        <w:rPr>
          <w:rFonts w:ascii="Titillium Web" w:hAnsi="Titillium Web" w:hint="cs"/>
          <w:b/>
          <w:bCs/>
          <w:sz w:val="20"/>
          <w:szCs w:val="20"/>
        </w:rPr>
        <w:t>ą</w:t>
      </w:r>
      <w:r w:rsidRPr="00441CEA">
        <w:rPr>
          <w:rFonts w:ascii="Titillium Web" w:hAnsi="Titillium Web"/>
          <w:b/>
          <w:bCs/>
          <w:sz w:val="20"/>
          <w:szCs w:val="20"/>
        </w:rPr>
        <w:t>dom</w:t>
      </w:r>
      <w:r w:rsidRPr="00441CEA">
        <w:rPr>
          <w:rFonts w:ascii="Titillium Web" w:hAnsi="Titillium Web"/>
          <w:sz w:val="20"/>
          <w:szCs w:val="20"/>
        </w:rPr>
        <w:t>, kt</w:t>
      </w:r>
      <w:r w:rsidRPr="00441CEA">
        <w:rPr>
          <w:rFonts w:ascii="Titillium Web" w:hAnsi="Titillium Web" w:hint="cs"/>
          <w:sz w:val="20"/>
          <w:szCs w:val="20"/>
        </w:rPr>
        <w:t>ó</w:t>
      </w:r>
      <w:r w:rsidRPr="00441CEA">
        <w:rPr>
          <w:rFonts w:ascii="Titillium Web" w:hAnsi="Titillium Web"/>
          <w:sz w:val="20"/>
          <w:szCs w:val="20"/>
        </w:rPr>
        <w:t>re odgrywaj</w:t>
      </w:r>
      <w:r w:rsidRPr="00441CEA">
        <w:rPr>
          <w:rFonts w:ascii="Titillium Web" w:hAnsi="Titillium Web" w:hint="cs"/>
          <w:sz w:val="20"/>
          <w:szCs w:val="20"/>
        </w:rPr>
        <w:t>ą</w:t>
      </w:r>
      <w:r w:rsidRPr="00441CEA">
        <w:rPr>
          <w:rFonts w:ascii="Titillium Web" w:hAnsi="Titillium Web"/>
          <w:sz w:val="20"/>
          <w:szCs w:val="20"/>
        </w:rPr>
        <w:t xml:space="preserve"> kluczow</w:t>
      </w:r>
      <w:r w:rsidRPr="00441CEA">
        <w:rPr>
          <w:rFonts w:ascii="Titillium Web" w:hAnsi="Titillium Web" w:hint="cs"/>
          <w:sz w:val="20"/>
          <w:szCs w:val="20"/>
        </w:rPr>
        <w:t>ą</w:t>
      </w:r>
      <w:r w:rsidRPr="00441CEA">
        <w:rPr>
          <w:rFonts w:ascii="Titillium Web" w:hAnsi="Titillium Web"/>
          <w:sz w:val="20"/>
          <w:szCs w:val="20"/>
        </w:rPr>
        <w:t xml:space="preserve"> rol</w:t>
      </w:r>
      <w:r w:rsidRPr="00441CEA">
        <w:rPr>
          <w:rFonts w:ascii="Titillium Web" w:hAnsi="Titillium Web" w:hint="cs"/>
          <w:sz w:val="20"/>
          <w:szCs w:val="20"/>
        </w:rPr>
        <w:t>ę</w:t>
      </w:r>
      <w:r w:rsidRPr="00441CEA">
        <w:rPr>
          <w:rFonts w:ascii="Titillium Web" w:hAnsi="Titillium Web"/>
          <w:sz w:val="20"/>
          <w:szCs w:val="20"/>
        </w:rPr>
        <w:t xml:space="preserve"> w kszta</w:t>
      </w:r>
      <w:r w:rsidRPr="00441CEA">
        <w:rPr>
          <w:rFonts w:ascii="Titillium Web" w:hAnsi="Titillium Web" w:hint="cs"/>
          <w:sz w:val="20"/>
          <w:szCs w:val="20"/>
        </w:rPr>
        <w:t>ł</w:t>
      </w:r>
      <w:r w:rsidRPr="00441CEA">
        <w:rPr>
          <w:rFonts w:ascii="Titillium Web" w:hAnsi="Titillium Web"/>
          <w:sz w:val="20"/>
          <w:szCs w:val="20"/>
        </w:rPr>
        <w:t>towaniu kierunk</w:t>
      </w:r>
      <w:r w:rsidRPr="00441CEA">
        <w:rPr>
          <w:rFonts w:ascii="Titillium Web" w:hAnsi="Titillium Web" w:hint="cs"/>
          <w:sz w:val="20"/>
          <w:szCs w:val="20"/>
        </w:rPr>
        <w:t>ó</w:t>
      </w:r>
      <w:r w:rsidRPr="00441CEA">
        <w:rPr>
          <w:rFonts w:ascii="Titillium Web" w:hAnsi="Titillium Web"/>
          <w:sz w:val="20"/>
          <w:szCs w:val="20"/>
        </w:rPr>
        <w:t>w rozwoju gospodarki komunalnej w Polsce. To w</w:t>
      </w:r>
      <w:r w:rsidRPr="00441CEA">
        <w:rPr>
          <w:rFonts w:ascii="Titillium Web" w:hAnsi="Titillium Web" w:hint="cs"/>
          <w:sz w:val="20"/>
          <w:szCs w:val="20"/>
        </w:rPr>
        <w:t>ł</w:t>
      </w:r>
      <w:r w:rsidRPr="00441CEA">
        <w:rPr>
          <w:rFonts w:ascii="Titillium Web" w:hAnsi="Titillium Web"/>
          <w:sz w:val="20"/>
          <w:szCs w:val="20"/>
        </w:rPr>
        <w:t>a</w:t>
      </w:r>
      <w:r w:rsidRPr="00441CEA">
        <w:rPr>
          <w:rFonts w:ascii="Titillium Web" w:hAnsi="Titillium Web" w:hint="cs"/>
          <w:sz w:val="20"/>
          <w:szCs w:val="20"/>
        </w:rPr>
        <w:t>ś</w:t>
      </w:r>
      <w:r w:rsidRPr="00441CEA">
        <w:rPr>
          <w:rFonts w:ascii="Titillium Web" w:hAnsi="Titillium Web"/>
          <w:sz w:val="20"/>
          <w:szCs w:val="20"/>
        </w:rPr>
        <w:t>nie Pa</w:t>
      </w:r>
      <w:r w:rsidRPr="00441CEA">
        <w:rPr>
          <w:rFonts w:ascii="Titillium Web" w:hAnsi="Titillium Web" w:hint="cs"/>
          <w:sz w:val="20"/>
          <w:szCs w:val="20"/>
        </w:rPr>
        <w:t>ń</w:t>
      </w:r>
      <w:r w:rsidRPr="00441CEA">
        <w:rPr>
          <w:rFonts w:ascii="Titillium Web" w:hAnsi="Titillium Web"/>
          <w:sz w:val="20"/>
          <w:szCs w:val="20"/>
        </w:rPr>
        <w:t>stwa do</w:t>
      </w:r>
      <w:r w:rsidRPr="00441CEA">
        <w:rPr>
          <w:rFonts w:ascii="Titillium Web" w:hAnsi="Titillium Web" w:hint="cs"/>
          <w:sz w:val="20"/>
          <w:szCs w:val="20"/>
        </w:rPr>
        <w:t>ś</w:t>
      </w:r>
      <w:r w:rsidRPr="00441CEA">
        <w:rPr>
          <w:rFonts w:ascii="Titillium Web" w:hAnsi="Titillium Web"/>
          <w:sz w:val="20"/>
          <w:szCs w:val="20"/>
        </w:rPr>
        <w:t>wiadczenia i inicjatywy s</w:t>
      </w:r>
      <w:r w:rsidRPr="00441CEA">
        <w:rPr>
          <w:rFonts w:ascii="Titillium Web" w:hAnsi="Titillium Web" w:hint="cs"/>
          <w:sz w:val="20"/>
          <w:szCs w:val="20"/>
        </w:rPr>
        <w:t>ą</w:t>
      </w:r>
      <w:r w:rsidRPr="00441CEA">
        <w:rPr>
          <w:rFonts w:ascii="Titillium Web" w:hAnsi="Titillium Web"/>
          <w:sz w:val="20"/>
          <w:szCs w:val="20"/>
        </w:rPr>
        <w:t xml:space="preserve"> punktem wyj</w:t>
      </w:r>
      <w:r w:rsidRPr="00441CEA">
        <w:rPr>
          <w:rFonts w:ascii="Titillium Web" w:hAnsi="Titillium Web" w:hint="cs"/>
          <w:sz w:val="20"/>
          <w:szCs w:val="20"/>
        </w:rPr>
        <w:t>ś</w:t>
      </w:r>
      <w:r w:rsidRPr="00441CEA">
        <w:rPr>
          <w:rFonts w:ascii="Titillium Web" w:hAnsi="Titillium Web"/>
          <w:sz w:val="20"/>
          <w:szCs w:val="20"/>
        </w:rPr>
        <w:t>cia do rozmowy o</w:t>
      </w:r>
      <w:r>
        <w:rPr>
          <w:rFonts w:ascii="Titillium Web" w:hAnsi="Titillium Web"/>
          <w:sz w:val="20"/>
          <w:szCs w:val="20"/>
        </w:rPr>
        <w:t> </w:t>
      </w:r>
      <w:r w:rsidRPr="00441CEA">
        <w:rPr>
          <w:rFonts w:ascii="Titillium Web" w:hAnsi="Titillium Web"/>
          <w:sz w:val="20"/>
          <w:szCs w:val="20"/>
        </w:rPr>
        <w:t>praktycznych rozwi</w:t>
      </w:r>
      <w:r w:rsidRPr="00441CEA">
        <w:rPr>
          <w:rFonts w:ascii="Titillium Web" w:hAnsi="Titillium Web" w:hint="cs"/>
          <w:sz w:val="20"/>
          <w:szCs w:val="20"/>
        </w:rPr>
        <w:t>ą</w:t>
      </w:r>
      <w:r w:rsidRPr="00441CEA">
        <w:rPr>
          <w:rFonts w:ascii="Titillium Web" w:hAnsi="Titillium Web"/>
          <w:sz w:val="20"/>
          <w:szCs w:val="20"/>
        </w:rPr>
        <w:t>zaniach.</w:t>
      </w:r>
      <w:r>
        <w:rPr>
          <w:rFonts w:ascii="Titillium Web" w:hAnsi="Titillium Web"/>
          <w:sz w:val="20"/>
          <w:szCs w:val="20"/>
        </w:rPr>
        <w:t xml:space="preserve"> </w:t>
      </w:r>
      <w:r w:rsidRPr="00441CEA">
        <w:rPr>
          <w:rFonts w:ascii="Titillium Web" w:hAnsi="Titillium Web"/>
          <w:b/>
          <w:bCs/>
          <w:sz w:val="20"/>
          <w:szCs w:val="20"/>
        </w:rPr>
        <w:t>Kongres b</w:t>
      </w:r>
      <w:r w:rsidRPr="00441CEA">
        <w:rPr>
          <w:rFonts w:ascii="Titillium Web" w:hAnsi="Titillium Web" w:hint="cs"/>
          <w:b/>
          <w:bCs/>
          <w:sz w:val="20"/>
          <w:szCs w:val="20"/>
        </w:rPr>
        <w:t>ę</w:t>
      </w:r>
      <w:r w:rsidRPr="00441CEA">
        <w:rPr>
          <w:rFonts w:ascii="Titillium Web" w:hAnsi="Titillium Web"/>
          <w:b/>
          <w:bCs/>
          <w:sz w:val="20"/>
          <w:szCs w:val="20"/>
        </w:rPr>
        <w:t>dzie podsumowaniem roku intensywnych zmian</w:t>
      </w:r>
      <w:r w:rsidRPr="00441CEA">
        <w:rPr>
          <w:rFonts w:ascii="Titillium Web" w:hAnsi="Titillium Web"/>
          <w:sz w:val="20"/>
          <w:szCs w:val="20"/>
        </w:rPr>
        <w:t xml:space="preserve"> oraz platform</w:t>
      </w:r>
      <w:r w:rsidRPr="00441CEA">
        <w:rPr>
          <w:rFonts w:ascii="Titillium Web" w:hAnsi="Titillium Web" w:hint="cs"/>
          <w:sz w:val="20"/>
          <w:szCs w:val="20"/>
        </w:rPr>
        <w:t>ą</w:t>
      </w:r>
      <w:r w:rsidRPr="00441CEA">
        <w:rPr>
          <w:rFonts w:ascii="Titillium Web" w:hAnsi="Titillium Web"/>
          <w:sz w:val="20"/>
          <w:szCs w:val="20"/>
        </w:rPr>
        <w:t xml:space="preserve"> dialogu samorz</w:t>
      </w:r>
      <w:r w:rsidRPr="00441CEA">
        <w:rPr>
          <w:rFonts w:ascii="Titillium Web" w:hAnsi="Titillium Web" w:hint="cs"/>
          <w:sz w:val="20"/>
          <w:szCs w:val="20"/>
        </w:rPr>
        <w:t>ą</w:t>
      </w:r>
      <w:r w:rsidRPr="00441CEA">
        <w:rPr>
          <w:rFonts w:ascii="Titillium Web" w:hAnsi="Titillium Web"/>
          <w:sz w:val="20"/>
          <w:szCs w:val="20"/>
        </w:rPr>
        <w:t>d</w:t>
      </w:r>
      <w:r w:rsidRPr="00441CEA">
        <w:rPr>
          <w:rFonts w:ascii="Titillium Web" w:hAnsi="Titillium Web" w:hint="cs"/>
          <w:sz w:val="20"/>
          <w:szCs w:val="20"/>
        </w:rPr>
        <w:t>ó</w:t>
      </w:r>
      <w:r w:rsidRPr="00441CEA">
        <w:rPr>
          <w:rFonts w:ascii="Titillium Web" w:hAnsi="Titillium Web"/>
          <w:sz w:val="20"/>
          <w:szCs w:val="20"/>
        </w:rPr>
        <w:t>w, administracji publicznej i bran</w:t>
      </w:r>
      <w:r w:rsidRPr="00441CEA">
        <w:rPr>
          <w:rFonts w:ascii="Titillium Web" w:hAnsi="Titillium Web" w:hint="cs"/>
          <w:sz w:val="20"/>
          <w:szCs w:val="20"/>
        </w:rPr>
        <w:t>ż</w:t>
      </w:r>
      <w:r w:rsidRPr="00441CEA">
        <w:rPr>
          <w:rFonts w:ascii="Titillium Web" w:hAnsi="Titillium Web"/>
          <w:sz w:val="20"/>
          <w:szCs w:val="20"/>
        </w:rPr>
        <w:t xml:space="preserve">y komunalnej. </w:t>
      </w:r>
      <w:r w:rsidR="00760A5B">
        <w:rPr>
          <w:rFonts w:ascii="Titillium Web" w:hAnsi="Titillium Web"/>
          <w:sz w:val="20"/>
          <w:szCs w:val="20"/>
        </w:rPr>
        <w:t xml:space="preserve">W każdym bloku tematycznym zaplanowaliśmy obecność przedstawicieli samorządów, którzy podzielą się swoimi doświadczeniami, odpowiedzą na pytania jakie są oczekiwania w stosunku do </w:t>
      </w:r>
      <w:r w:rsidR="005A7EE7">
        <w:rPr>
          <w:rFonts w:ascii="Titillium Web" w:hAnsi="Titillium Web"/>
          <w:sz w:val="20"/>
          <w:szCs w:val="20"/>
        </w:rPr>
        <w:t xml:space="preserve">przyjętych i </w:t>
      </w:r>
      <w:r w:rsidR="00760A5B">
        <w:rPr>
          <w:rFonts w:ascii="Titillium Web" w:hAnsi="Titillium Web"/>
          <w:sz w:val="20"/>
          <w:szCs w:val="20"/>
        </w:rPr>
        <w:t>planowanych zmian w prawie.</w:t>
      </w:r>
    </w:p>
    <w:p w14:paraId="173063F2" w14:textId="77777777" w:rsidR="00441CEA" w:rsidRPr="006478F1" w:rsidRDefault="00441CEA" w:rsidP="00441CEA">
      <w:pPr>
        <w:spacing w:after="0"/>
        <w:rPr>
          <w:rFonts w:ascii="Titillium Web" w:hAnsi="Titillium Web"/>
          <w:sz w:val="20"/>
          <w:szCs w:val="20"/>
        </w:rPr>
      </w:pPr>
    </w:p>
    <w:p w14:paraId="169FB6ED" w14:textId="7DBC4E11" w:rsidR="006478F1" w:rsidRPr="006478F1" w:rsidRDefault="006478F1" w:rsidP="005A7EE7">
      <w:pPr>
        <w:spacing w:after="0"/>
        <w:jc w:val="both"/>
        <w:rPr>
          <w:rFonts w:ascii="Titillium Web" w:hAnsi="Titillium Web"/>
          <w:sz w:val="20"/>
          <w:szCs w:val="20"/>
        </w:rPr>
      </w:pPr>
      <w:r w:rsidRPr="006478F1">
        <w:rPr>
          <w:rFonts w:ascii="Titillium Web" w:hAnsi="Titillium Web"/>
          <w:sz w:val="20"/>
          <w:szCs w:val="20"/>
        </w:rPr>
        <w:t xml:space="preserve">W panelu inauguracyjnym </w:t>
      </w:r>
      <w:r w:rsidRPr="006478F1">
        <w:rPr>
          <w:rFonts w:ascii="Titillium Web" w:hAnsi="Titillium Web"/>
          <w:b/>
          <w:bCs/>
          <w:sz w:val="20"/>
          <w:szCs w:val="20"/>
        </w:rPr>
        <w:t>#WybieramŚrodowisko2.0</w:t>
      </w:r>
      <w:r w:rsidRPr="006478F1">
        <w:rPr>
          <w:rFonts w:ascii="Titillium Web" w:hAnsi="Titillium Web"/>
          <w:sz w:val="20"/>
          <w:szCs w:val="20"/>
        </w:rPr>
        <w:t xml:space="preserve"> spotkają się przedstawiciele </w:t>
      </w:r>
      <w:r w:rsidRPr="006478F1">
        <w:rPr>
          <w:rFonts w:ascii="Titillium Web" w:hAnsi="Titillium Web"/>
          <w:b/>
          <w:bCs/>
          <w:sz w:val="20"/>
          <w:szCs w:val="20"/>
        </w:rPr>
        <w:t xml:space="preserve">wszystkich klubów parlamentarnych, administracji publicznej, samorządów i </w:t>
      </w:r>
      <w:r w:rsidR="00810D5A">
        <w:rPr>
          <w:rFonts w:ascii="Titillium Web" w:hAnsi="Titillium Web"/>
          <w:b/>
          <w:bCs/>
          <w:sz w:val="20"/>
          <w:szCs w:val="20"/>
        </w:rPr>
        <w:t>przedsiębiorców</w:t>
      </w:r>
      <w:r w:rsidRPr="006478F1">
        <w:rPr>
          <w:rFonts w:ascii="Titillium Web" w:hAnsi="Titillium Web"/>
          <w:sz w:val="20"/>
          <w:szCs w:val="20"/>
        </w:rPr>
        <w:t>, by wspólnie</w:t>
      </w:r>
      <w:r>
        <w:rPr>
          <w:rFonts w:ascii="Titillium Web" w:hAnsi="Titillium Web"/>
          <w:sz w:val="20"/>
          <w:szCs w:val="20"/>
        </w:rPr>
        <w:t xml:space="preserve"> omówić i </w:t>
      </w:r>
      <w:r w:rsidRPr="006478F1">
        <w:rPr>
          <w:rFonts w:ascii="Titillium Web" w:hAnsi="Titillium Web"/>
          <w:sz w:val="20"/>
          <w:szCs w:val="20"/>
        </w:rPr>
        <w:t>wyznaczyć priorytety na 2026 rok.</w:t>
      </w:r>
    </w:p>
    <w:p w14:paraId="08396649" w14:textId="77777777" w:rsidR="006478F1" w:rsidRPr="006478F1" w:rsidRDefault="006478F1" w:rsidP="006478F1">
      <w:pPr>
        <w:spacing w:after="0"/>
        <w:rPr>
          <w:rFonts w:ascii="Titillium Web" w:hAnsi="Titillium Web"/>
          <w:sz w:val="20"/>
          <w:szCs w:val="20"/>
        </w:rPr>
      </w:pPr>
    </w:p>
    <w:p w14:paraId="660981E8" w14:textId="3C0BD3EB" w:rsidR="006478F1" w:rsidRPr="006478F1" w:rsidRDefault="006478F1" w:rsidP="006478F1">
      <w:pPr>
        <w:spacing w:after="0"/>
        <w:rPr>
          <w:rFonts w:ascii="Titillium Web" w:hAnsi="Titillium Web"/>
          <w:sz w:val="20"/>
          <w:szCs w:val="20"/>
        </w:rPr>
      </w:pPr>
      <w:r w:rsidRPr="006478F1">
        <w:rPr>
          <w:rFonts w:ascii="Titillium Web" w:hAnsi="Titillium Web"/>
          <w:sz w:val="20"/>
          <w:szCs w:val="20"/>
        </w:rPr>
        <w:t xml:space="preserve">W </w:t>
      </w:r>
      <w:r w:rsidR="006030F4">
        <w:rPr>
          <w:rFonts w:ascii="Titillium Web" w:hAnsi="Titillium Web"/>
          <w:sz w:val="20"/>
          <w:szCs w:val="20"/>
        </w:rPr>
        <w:t>panelach dyskusyjnych</w:t>
      </w:r>
      <w:r w:rsidRPr="006478F1">
        <w:rPr>
          <w:rFonts w:ascii="Titillium Web" w:hAnsi="Titillium Web"/>
          <w:sz w:val="20"/>
          <w:szCs w:val="20"/>
        </w:rPr>
        <w:t xml:space="preserve"> poruszymy m.in.:</w:t>
      </w:r>
    </w:p>
    <w:p w14:paraId="728CEBFE" w14:textId="700AA76E" w:rsidR="006478F1" w:rsidRPr="006478F1" w:rsidRDefault="006478F1" w:rsidP="006478F1">
      <w:pPr>
        <w:pStyle w:val="Akapitzlist"/>
        <w:numPr>
          <w:ilvl w:val="0"/>
          <w:numId w:val="1"/>
        </w:numPr>
        <w:spacing w:after="0"/>
        <w:rPr>
          <w:rFonts w:ascii="Titillium Web" w:hAnsi="Titillium Web"/>
          <w:b/>
          <w:bCs/>
          <w:sz w:val="20"/>
          <w:szCs w:val="20"/>
        </w:rPr>
      </w:pPr>
      <w:r w:rsidRPr="006478F1">
        <w:rPr>
          <w:rFonts w:ascii="Titillium Web" w:hAnsi="Titillium Web"/>
          <w:b/>
          <w:bCs/>
          <w:sz w:val="20"/>
          <w:szCs w:val="20"/>
        </w:rPr>
        <w:t>Bezpieczeństwo i ochronę infrastruktury komunalnej</w:t>
      </w:r>
    </w:p>
    <w:p w14:paraId="02536CFA" w14:textId="12C8C9F2" w:rsidR="000A6507" w:rsidRDefault="006478F1" w:rsidP="005A7EE7">
      <w:pPr>
        <w:pStyle w:val="Akapitzlist"/>
        <w:jc w:val="both"/>
        <w:rPr>
          <w:rFonts w:ascii="Titillium Web" w:hAnsi="Titillium Web"/>
          <w:i/>
          <w:iCs/>
          <w:sz w:val="20"/>
          <w:szCs w:val="20"/>
        </w:rPr>
      </w:pPr>
      <w:r>
        <w:rPr>
          <w:rFonts w:ascii="Titillium Web" w:hAnsi="Titillium Web"/>
          <w:i/>
          <w:iCs/>
          <w:sz w:val="20"/>
          <w:szCs w:val="20"/>
        </w:rPr>
        <w:t>I</w:t>
      </w:r>
      <w:r w:rsidRPr="006478F1">
        <w:rPr>
          <w:rFonts w:ascii="Titillium Web" w:hAnsi="Titillium Web"/>
          <w:i/>
          <w:iCs/>
          <w:sz w:val="20"/>
          <w:szCs w:val="20"/>
        </w:rPr>
        <w:t xml:space="preserve">nstalacje komunalne, w tym </w:t>
      </w:r>
      <w:r w:rsidR="00760A5B">
        <w:rPr>
          <w:rFonts w:ascii="Titillium Web" w:hAnsi="Titillium Web"/>
          <w:i/>
          <w:iCs/>
          <w:sz w:val="20"/>
          <w:szCs w:val="20"/>
        </w:rPr>
        <w:t xml:space="preserve">obiekty </w:t>
      </w:r>
      <w:proofErr w:type="spellStart"/>
      <w:r w:rsidR="00760A5B">
        <w:rPr>
          <w:rFonts w:ascii="Titillium Web" w:hAnsi="Titillium Web"/>
          <w:i/>
          <w:iCs/>
          <w:sz w:val="20"/>
          <w:szCs w:val="20"/>
        </w:rPr>
        <w:t>wod-kan</w:t>
      </w:r>
      <w:proofErr w:type="spellEnd"/>
      <w:r w:rsidR="00760A5B">
        <w:rPr>
          <w:rFonts w:ascii="Titillium Web" w:hAnsi="Titillium Web"/>
          <w:i/>
          <w:iCs/>
          <w:sz w:val="20"/>
          <w:szCs w:val="20"/>
        </w:rPr>
        <w:t xml:space="preserve">, ciepłownicze, </w:t>
      </w:r>
      <w:r w:rsidRPr="006478F1">
        <w:rPr>
          <w:rFonts w:ascii="Titillium Web" w:hAnsi="Titillium Web"/>
          <w:i/>
          <w:iCs/>
          <w:sz w:val="20"/>
          <w:szCs w:val="20"/>
        </w:rPr>
        <w:t xml:space="preserve">spalarnie, </w:t>
      </w:r>
      <w:r w:rsidR="00760A5B">
        <w:rPr>
          <w:rFonts w:ascii="Titillium Web" w:hAnsi="Titillium Web"/>
          <w:i/>
          <w:iCs/>
          <w:sz w:val="20"/>
          <w:szCs w:val="20"/>
        </w:rPr>
        <w:t>sortownie</w:t>
      </w:r>
      <w:r w:rsidRPr="006478F1">
        <w:rPr>
          <w:rFonts w:ascii="Titillium Web" w:hAnsi="Titillium Web"/>
          <w:i/>
          <w:iCs/>
          <w:sz w:val="20"/>
          <w:szCs w:val="20"/>
        </w:rPr>
        <w:t xml:space="preserve"> jako infrastruktura krytyczna</w:t>
      </w:r>
      <w:r w:rsidR="000A6507">
        <w:rPr>
          <w:rFonts w:ascii="Titillium Web" w:hAnsi="Titillium Web"/>
          <w:i/>
          <w:iCs/>
          <w:sz w:val="20"/>
          <w:szCs w:val="20"/>
        </w:rPr>
        <w:t xml:space="preserve">. </w:t>
      </w:r>
      <w:proofErr w:type="spellStart"/>
      <w:r w:rsidR="000A6507">
        <w:rPr>
          <w:rFonts w:ascii="Titillium Web" w:hAnsi="Titillium Web"/>
          <w:i/>
          <w:iCs/>
          <w:sz w:val="20"/>
          <w:szCs w:val="20"/>
        </w:rPr>
        <w:t>Cyberbezpiecze</w:t>
      </w:r>
      <w:r w:rsidR="005A7EE7">
        <w:rPr>
          <w:rFonts w:ascii="Titillium Web" w:hAnsi="Titillium Web"/>
          <w:i/>
          <w:iCs/>
          <w:sz w:val="20"/>
          <w:szCs w:val="20"/>
        </w:rPr>
        <w:t>ń</w:t>
      </w:r>
      <w:r w:rsidR="000A6507">
        <w:rPr>
          <w:rFonts w:ascii="Titillium Web" w:hAnsi="Titillium Web"/>
          <w:i/>
          <w:iCs/>
          <w:sz w:val="20"/>
          <w:szCs w:val="20"/>
        </w:rPr>
        <w:t>stwo</w:t>
      </w:r>
      <w:proofErr w:type="spellEnd"/>
      <w:r w:rsidR="000A6507">
        <w:rPr>
          <w:rFonts w:ascii="Titillium Web" w:hAnsi="Titillium Web"/>
          <w:i/>
          <w:iCs/>
          <w:sz w:val="20"/>
          <w:szCs w:val="20"/>
        </w:rPr>
        <w:t>, ochrona danych</w:t>
      </w:r>
      <w:r w:rsidR="005A7EE7">
        <w:rPr>
          <w:rFonts w:ascii="Titillium Web" w:hAnsi="Titillium Web"/>
          <w:i/>
          <w:iCs/>
          <w:sz w:val="20"/>
          <w:szCs w:val="20"/>
        </w:rPr>
        <w:t xml:space="preserve"> </w:t>
      </w:r>
      <w:r w:rsidR="000A6507">
        <w:rPr>
          <w:rFonts w:ascii="Titillium Web" w:hAnsi="Titillium Web"/>
          <w:i/>
          <w:iCs/>
          <w:sz w:val="20"/>
          <w:szCs w:val="20"/>
        </w:rPr>
        <w:t xml:space="preserve">(dostęp do informacji publicznej), fizyczne zabezpieczenie mienia. Instalacje komunalne jako Miejsca Docelowego Schronienia, zapewnienie ciągłości usług oraz współdzielenie i zarządzanie zasobami w sytuacjach kryzysowych. </w:t>
      </w:r>
      <w:r w:rsidR="005A7EE7">
        <w:rPr>
          <w:rFonts w:ascii="Titillium Web" w:hAnsi="Titillium Web"/>
          <w:i/>
          <w:iCs/>
          <w:sz w:val="20"/>
          <w:szCs w:val="20"/>
        </w:rPr>
        <w:t>S</w:t>
      </w:r>
      <w:r w:rsidR="00A31229">
        <w:rPr>
          <w:rFonts w:ascii="Titillium Web" w:hAnsi="Titillium Web"/>
          <w:i/>
          <w:iCs/>
          <w:sz w:val="20"/>
          <w:szCs w:val="20"/>
        </w:rPr>
        <w:t>pos</w:t>
      </w:r>
      <w:r w:rsidR="005A7EE7">
        <w:rPr>
          <w:rFonts w:ascii="Titillium Web" w:hAnsi="Titillium Web"/>
          <w:i/>
          <w:iCs/>
          <w:sz w:val="20"/>
          <w:szCs w:val="20"/>
        </w:rPr>
        <w:t xml:space="preserve">oby </w:t>
      </w:r>
      <w:r w:rsidR="00A31229">
        <w:rPr>
          <w:rFonts w:ascii="Titillium Web" w:hAnsi="Titillium Web"/>
          <w:i/>
          <w:iCs/>
          <w:sz w:val="20"/>
          <w:szCs w:val="20"/>
        </w:rPr>
        <w:t>pokry</w:t>
      </w:r>
      <w:r w:rsidR="005A7EE7">
        <w:rPr>
          <w:rFonts w:ascii="Titillium Web" w:hAnsi="Titillium Web"/>
          <w:i/>
          <w:iCs/>
          <w:sz w:val="20"/>
          <w:szCs w:val="20"/>
        </w:rPr>
        <w:t xml:space="preserve">wania </w:t>
      </w:r>
      <w:r w:rsidR="00A31229">
        <w:rPr>
          <w:rFonts w:ascii="Titillium Web" w:hAnsi="Titillium Web"/>
          <w:i/>
          <w:iCs/>
          <w:sz w:val="20"/>
          <w:szCs w:val="20"/>
        </w:rPr>
        <w:t>koszt</w:t>
      </w:r>
      <w:r w:rsidR="005A7EE7">
        <w:rPr>
          <w:rFonts w:ascii="Titillium Web" w:hAnsi="Titillium Web"/>
          <w:i/>
          <w:iCs/>
          <w:sz w:val="20"/>
          <w:szCs w:val="20"/>
        </w:rPr>
        <w:t>ów</w:t>
      </w:r>
      <w:r w:rsidR="00A31229">
        <w:rPr>
          <w:rFonts w:ascii="Titillium Web" w:hAnsi="Titillium Web"/>
          <w:i/>
          <w:iCs/>
          <w:sz w:val="20"/>
          <w:szCs w:val="20"/>
        </w:rPr>
        <w:t xml:space="preserve"> finansowania ochrony mienia.</w:t>
      </w:r>
    </w:p>
    <w:p w14:paraId="5F66361E" w14:textId="49B04274" w:rsidR="006478F1" w:rsidRPr="006478F1" w:rsidRDefault="006478F1" w:rsidP="006478F1">
      <w:pPr>
        <w:pStyle w:val="Akapitzlist"/>
        <w:numPr>
          <w:ilvl w:val="0"/>
          <w:numId w:val="1"/>
        </w:numPr>
        <w:spacing w:before="240" w:after="0"/>
        <w:rPr>
          <w:rFonts w:ascii="Titillium Web" w:hAnsi="Titillium Web"/>
          <w:b/>
          <w:bCs/>
          <w:sz w:val="20"/>
          <w:szCs w:val="20"/>
        </w:rPr>
      </w:pPr>
      <w:r w:rsidRPr="006478F1">
        <w:rPr>
          <w:rFonts w:ascii="Titillium Web" w:hAnsi="Titillium Web"/>
          <w:b/>
          <w:bCs/>
          <w:sz w:val="20"/>
          <w:szCs w:val="20"/>
        </w:rPr>
        <w:t>Wdrożenie ROP i systemu kaucyjnego</w:t>
      </w:r>
    </w:p>
    <w:p w14:paraId="426678C3" w14:textId="3BF810D9" w:rsidR="006478F1" w:rsidRPr="006478F1" w:rsidRDefault="00A31229" w:rsidP="005A7EE7">
      <w:pPr>
        <w:pStyle w:val="Akapitzlist"/>
        <w:spacing w:after="0"/>
        <w:jc w:val="both"/>
        <w:rPr>
          <w:rFonts w:ascii="Titillium Web" w:hAnsi="Titillium Web"/>
          <w:i/>
          <w:iCs/>
          <w:sz w:val="20"/>
          <w:szCs w:val="20"/>
        </w:rPr>
      </w:pPr>
      <w:r>
        <w:rPr>
          <w:rFonts w:ascii="Titillium Web" w:hAnsi="Titillium Web"/>
          <w:i/>
          <w:iCs/>
          <w:sz w:val="20"/>
          <w:szCs w:val="20"/>
        </w:rPr>
        <w:t>Konsekwencje finansowe dla gospodarki komunalnej wynikające z rozwoju systemu kaucyjnego</w:t>
      </w:r>
      <w:r w:rsidR="002105F8">
        <w:rPr>
          <w:rFonts w:ascii="Titillium Web" w:hAnsi="Titillium Web"/>
          <w:i/>
          <w:iCs/>
          <w:sz w:val="20"/>
          <w:szCs w:val="20"/>
        </w:rPr>
        <w:t xml:space="preserve">. </w:t>
      </w:r>
      <w:r>
        <w:rPr>
          <w:rFonts w:ascii="Titillium Web" w:hAnsi="Titillium Web"/>
          <w:i/>
          <w:iCs/>
          <w:sz w:val="20"/>
          <w:szCs w:val="20"/>
        </w:rPr>
        <w:t xml:space="preserve">Harmonogram wdrożenie ROP i zasady jego funkcjonowania. </w:t>
      </w:r>
    </w:p>
    <w:p w14:paraId="2E9B34AE" w14:textId="22E50301" w:rsidR="006478F1" w:rsidRPr="006478F1" w:rsidRDefault="00760A5B" w:rsidP="006478F1">
      <w:pPr>
        <w:pStyle w:val="Akapitzlist"/>
        <w:numPr>
          <w:ilvl w:val="0"/>
          <w:numId w:val="1"/>
        </w:numPr>
        <w:spacing w:after="0"/>
        <w:rPr>
          <w:rFonts w:ascii="Titillium Web" w:hAnsi="Titillium Web"/>
          <w:b/>
          <w:bCs/>
          <w:sz w:val="20"/>
          <w:szCs w:val="20"/>
        </w:rPr>
      </w:pPr>
      <w:r>
        <w:rPr>
          <w:rFonts w:ascii="Titillium Web" w:hAnsi="Titillium Web"/>
          <w:b/>
          <w:bCs/>
          <w:sz w:val="20"/>
          <w:szCs w:val="20"/>
        </w:rPr>
        <w:t>Koszty gospodarki odpadami, finansowanie</w:t>
      </w:r>
      <w:r w:rsidR="006478F1" w:rsidRPr="006478F1">
        <w:rPr>
          <w:rFonts w:ascii="Titillium Web" w:hAnsi="Titillium Web"/>
          <w:b/>
          <w:bCs/>
          <w:sz w:val="20"/>
          <w:szCs w:val="20"/>
        </w:rPr>
        <w:t xml:space="preserve"> i rozwój instalacji komunalnych</w:t>
      </w:r>
    </w:p>
    <w:p w14:paraId="7763A2C3" w14:textId="36AB16B2" w:rsidR="002105F8" w:rsidRDefault="002105F8" w:rsidP="005A7EE7">
      <w:pPr>
        <w:pStyle w:val="Akapitzlist"/>
        <w:spacing w:after="0"/>
        <w:jc w:val="both"/>
        <w:rPr>
          <w:rFonts w:ascii="Titillium Web" w:hAnsi="Titillium Web"/>
          <w:i/>
          <w:iCs/>
          <w:sz w:val="20"/>
          <w:szCs w:val="20"/>
        </w:rPr>
      </w:pPr>
      <w:r>
        <w:rPr>
          <w:rFonts w:ascii="Titillium Web" w:hAnsi="Titillium Web"/>
          <w:i/>
          <w:iCs/>
          <w:sz w:val="20"/>
          <w:szCs w:val="20"/>
        </w:rPr>
        <w:t xml:space="preserve">Konieczność uruchomienia nowych programów pozwalających na finansowanie </w:t>
      </w:r>
      <w:r w:rsidRPr="006478F1">
        <w:rPr>
          <w:rFonts w:ascii="Titillium Web" w:hAnsi="Titillium Web"/>
          <w:i/>
          <w:iCs/>
          <w:sz w:val="20"/>
          <w:szCs w:val="20"/>
        </w:rPr>
        <w:t xml:space="preserve">lokalnych instalacji </w:t>
      </w:r>
      <w:proofErr w:type="spellStart"/>
      <w:r w:rsidRPr="006478F1">
        <w:rPr>
          <w:rFonts w:ascii="Titillium Web" w:hAnsi="Titillium Web"/>
          <w:i/>
          <w:iCs/>
          <w:sz w:val="20"/>
          <w:szCs w:val="20"/>
        </w:rPr>
        <w:t>bioodpadowych</w:t>
      </w:r>
      <w:proofErr w:type="spellEnd"/>
      <w:r>
        <w:rPr>
          <w:rFonts w:ascii="Titillium Web" w:hAnsi="Titillium Web"/>
          <w:i/>
          <w:iCs/>
          <w:sz w:val="20"/>
          <w:szCs w:val="20"/>
        </w:rPr>
        <w:t>, bio</w:t>
      </w:r>
      <w:r w:rsidRPr="006478F1">
        <w:rPr>
          <w:rFonts w:ascii="Titillium Web" w:hAnsi="Titillium Web"/>
          <w:i/>
          <w:iCs/>
          <w:sz w:val="20"/>
          <w:szCs w:val="20"/>
        </w:rPr>
        <w:t>gazow</w:t>
      </w:r>
      <w:r>
        <w:rPr>
          <w:rFonts w:ascii="Titillium Web" w:hAnsi="Titillium Web"/>
          <w:i/>
          <w:iCs/>
          <w:sz w:val="20"/>
          <w:szCs w:val="20"/>
        </w:rPr>
        <w:t xml:space="preserve">ni, </w:t>
      </w:r>
      <w:r w:rsidRPr="006478F1">
        <w:rPr>
          <w:rFonts w:ascii="Titillium Web" w:hAnsi="Titillium Web"/>
          <w:i/>
          <w:iCs/>
          <w:sz w:val="20"/>
          <w:szCs w:val="20"/>
        </w:rPr>
        <w:t>spalarn</w:t>
      </w:r>
      <w:r>
        <w:rPr>
          <w:rFonts w:ascii="Titillium Web" w:hAnsi="Titillium Web"/>
          <w:i/>
          <w:iCs/>
          <w:sz w:val="20"/>
          <w:szCs w:val="20"/>
        </w:rPr>
        <w:t xml:space="preserve">i, transformacji </w:t>
      </w:r>
      <w:r w:rsidRPr="006478F1">
        <w:rPr>
          <w:rFonts w:ascii="Titillium Web" w:hAnsi="Titillium Web"/>
          <w:i/>
          <w:iCs/>
          <w:sz w:val="20"/>
          <w:szCs w:val="20"/>
        </w:rPr>
        <w:t xml:space="preserve">energetycznej </w:t>
      </w:r>
      <w:r>
        <w:rPr>
          <w:rFonts w:ascii="Titillium Web" w:hAnsi="Titillium Web"/>
          <w:i/>
          <w:iCs/>
          <w:sz w:val="20"/>
          <w:szCs w:val="20"/>
        </w:rPr>
        <w:t>przedsiębiorstw</w:t>
      </w:r>
      <w:r w:rsidR="005A7EE7">
        <w:rPr>
          <w:rFonts w:ascii="Titillium Web" w:hAnsi="Titillium Web"/>
          <w:i/>
          <w:iCs/>
          <w:sz w:val="20"/>
          <w:szCs w:val="20"/>
        </w:rPr>
        <w:t xml:space="preserve"> </w:t>
      </w:r>
      <w:r>
        <w:rPr>
          <w:rFonts w:ascii="Titillium Web" w:hAnsi="Titillium Web"/>
          <w:i/>
          <w:iCs/>
          <w:sz w:val="20"/>
          <w:szCs w:val="20"/>
        </w:rPr>
        <w:t>(wynikających z luki inwestycyjnej). Przetargi na odbiór i zagospodarowanie odpadów – jak się przygotować aby nie było drożej. Hybrydowe finansowanie inwestycji, kiedy sięgnąć po PPP.</w:t>
      </w:r>
      <w:r w:rsidRPr="002105F8">
        <w:rPr>
          <w:rFonts w:ascii="Titillium Web" w:hAnsi="Titillium Web"/>
          <w:i/>
          <w:iCs/>
          <w:sz w:val="20"/>
          <w:szCs w:val="20"/>
        </w:rPr>
        <w:t xml:space="preserve"> </w:t>
      </w:r>
      <w:r>
        <w:rPr>
          <w:rFonts w:ascii="Titillium Web" w:hAnsi="Titillium Web"/>
          <w:i/>
          <w:iCs/>
          <w:sz w:val="20"/>
          <w:szCs w:val="20"/>
        </w:rPr>
        <w:t xml:space="preserve">Poziomy recyklingu w gminach – jak zrealizować realny czy nierealny cel? </w:t>
      </w:r>
    </w:p>
    <w:p w14:paraId="39082CBD" w14:textId="682FFBC1" w:rsidR="006478F1" w:rsidRPr="006478F1" w:rsidRDefault="006478F1" w:rsidP="006478F1">
      <w:pPr>
        <w:pStyle w:val="Akapitzlist"/>
        <w:numPr>
          <w:ilvl w:val="0"/>
          <w:numId w:val="1"/>
        </w:numPr>
        <w:spacing w:after="0"/>
        <w:rPr>
          <w:rFonts w:ascii="Titillium Web" w:hAnsi="Titillium Web"/>
          <w:b/>
          <w:bCs/>
          <w:sz w:val="20"/>
          <w:szCs w:val="20"/>
        </w:rPr>
      </w:pPr>
      <w:r w:rsidRPr="006478F1">
        <w:rPr>
          <w:rFonts w:ascii="Titillium Web" w:hAnsi="Titillium Web"/>
          <w:b/>
          <w:bCs/>
          <w:sz w:val="20"/>
          <w:szCs w:val="20"/>
        </w:rPr>
        <w:t>Zarządzanie strumieniami odpadów</w:t>
      </w:r>
    </w:p>
    <w:p w14:paraId="08E2D7CE" w14:textId="0DE2259F" w:rsidR="006478F1" w:rsidRPr="00D53DFD" w:rsidRDefault="007B62D5" w:rsidP="005A7EE7">
      <w:pPr>
        <w:pStyle w:val="Akapitzlist"/>
        <w:spacing w:after="0"/>
        <w:jc w:val="both"/>
        <w:rPr>
          <w:rFonts w:ascii="Titillium Web" w:hAnsi="Titillium Web"/>
          <w:i/>
          <w:iCs/>
          <w:sz w:val="20"/>
          <w:szCs w:val="20"/>
        </w:rPr>
      </w:pPr>
      <w:r>
        <w:rPr>
          <w:rFonts w:ascii="Titillium Web" w:hAnsi="Titillium Web"/>
          <w:i/>
          <w:iCs/>
          <w:sz w:val="20"/>
          <w:szCs w:val="20"/>
        </w:rPr>
        <w:t>Rosnący strumień</w:t>
      </w:r>
      <w:r w:rsidR="006478F1" w:rsidRPr="00D53DFD">
        <w:rPr>
          <w:rFonts w:ascii="Titillium Web" w:hAnsi="Titillium Web"/>
          <w:i/>
          <w:iCs/>
          <w:sz w:val="20"/>
          <w:szCs w:val="20"/>
        </w:rPr>
        <w:t xml:space="preserve"> bioodpadów, tekstyliów, odpadów </w:t>
      </w:r>
      <w:r w:rsidR="001C0F73" w:rsidRPr="00D53DFD">
        <w:rPr>
          <w:rFonts w:ascii="Titillium Web" w:hAnsi="Titillium Web"/>
          <w:i/>
          <w:iCs/>
          <w:sz w:val="20"/>
          <w:szCs w:val="20"/>
        </w:rPr>
        <w:t>budowlanych</w:t>
      </w:r>
      <w:r w:rsidR="005A7EE7">
        <w:rPr>
          <w:rFonts w:ascii="Titillium Web" w:hAnsi="Titillium Web"/>
          <w:i/>
          <w:iCs/>
          <w:sz w:val="20"/>
          <w:szCs w:val="20"/>
        </w:rPr>
        <w:t>.</w:t>
      </w:r>
      <w:r>
        <w:rPr>
          <w:rFonts w:ascii="Titillium Web" w:hAnsi="Titillium Web"/>
          <w:i/>
          <w:iCs/>
          <w:sz w:val="20"/>
          <w:szCs w:val="20"/>
        </w:rPr>
        <w:t xml:space="preserve"> Konieczność zmiany definicji dla odpadów</w:t>
      </w:r>
      <w:r w:rsidR="001C0F73" w:rsidRPr="00D53DFD">
        <w:rPr>
          <w:rFonts w:ascii="Titillium Web" w:hAnsi="Titillium Web"/>
          <w:i/>
          <w:iCs/>
          <w:sz w:val="20"/>
          <w:szCs w:val="20"/>
        </w:rPr>
        <w:t xml:space="preserve"> </w:t>
      </w:r>
      <w:r w:rsidR="006478F1" w:rsidRPr="00D53DFD">
        <w:rPr>
          <w:rFonts w:ascii="Titillium Web" w:hAnsi="Titillium Web"/>
          <w:i/>
          <w:iCs/>
          <w:sz w:val="20"/>
          <w:szCs w:val="20"/>
        </w:rPr>
        <w:t xml:space="preserve">z cmentarzy, </w:t>
      </w:r>
      <w:r>
        <w:rPr>
          <w:rFonts w:ascii="Titillium Web" w:hAnsi="Titillium Web"/>
          <w:i/>
          <w:iCs/>
          <w:sz w:val="20"/>
          <w:szCs w:val="20"/>
        </w:rPr>
        <w:t xml:space="preserve">tekstyliów niedających się do ponownego użycia. Efektywność </w:t>
      </w:r>
      <w:r w:rsidR="001C0F73" w:rsidRPr="00D53DFD">
        <w:rPr>
          <w:rFonts w:ascii="Titillium Web" w:hAnsi="Titillium Web"/>
          <w:i/>
          <w:iCs/>
          <w:sz w:val="20"/>
          <w:szCs w:val="20"/>
        </w:rPr>
        <w:t xml:space="preserve">sposobów zbiórki i nadmiernego </w:t>
      </w:r>
      <w:r w:rsidR="006478F1" w:rsidRPr="00D53DFD">
        <w:rPr>
          <w:rFonts w:ascii="Titillium Web" w:hAnsi="Titillium Web"/>
          <w:i/>
          <w:iCs/>
          <w:sz w:val="20"/>
          <w:szCs w:val="20"/>
        </w:rPr>
        <w:t>transportu odpadów</w:t>
      </w:r>
      <w:r>
        <w:rPr>
          <w:rFonts w:ascii="Titillium Web" w:hAnsi="Titillium Web"/>
          <w:i/>
          <w:iCs/>
          <w:sz w:val="20"/>
          <w:szCs w:val="20"/>
        </w:rPr>
        <w:t xml:space="preserve"> do miejsc docelowego zagospodarowania lub przetworzenia</w:t>
      </w:r>
      <w:r w:rsidR="005A7EE7">
        <w:rPr>
          <w:rFonts w:ascii="Titillium Web" w:hAnsi="Titillium Web"/>
          <w:i/>
          <w:iCs/>
          <w:sz w:val="20"/>
          <w:szCs w:val="20"/>
        </w:rPr>
        <w:t xml:space="preserve"> </w:t>
      </w:r>
      <w:r>
        <w:rPr>
          <w:rFonts w:ascii="Titillium Web" w:hAnsi="Titillium Web"/>
          <w:i/>
          <w:iCs/>
          <w:sz w:val="20"/>
          <w:szCs w:val="20"/>
        </w:rPr>
        <w:t xml:space="preserve">(szkło i odpady </w:t>
      </w:r>
      <w:proofErr w:type="spellStart"/>
      <w:r>
        <w:rPr>
          <w:rFonts w:ascii="Titillium Web" w:hAnsi="Titillium Web"/>
          <w:i/>
          <w:iCs/>
          <w:sz w:val="20"/>
          <w:szCs w:val="20"/>
        </w:rPr>
        <w:t>bio</w:t>
      </w:r>
      <w:proofErr w:type="spellEnd"/>
      <w:r>
        <w:rPr>
          <w:rFonts w:ascii="Titillium Web" w:hAnsi="Titillium Web"/>
          <w:i/>
          <w:iCs/>
          <w:sz w:val="20"/>
          <w:szCs w:val="20"/>
        </w:rPr>
        <w:t xml:space="preserve"> zbierane w pojemnikach vs zbiórka workowa).</w:t>
      </w:r>
    </w:p>
    <w:p w14:paraId="09A92D26" w14:textId="5A6501E4" w:rsidR="006478F1" w:rsidRPr="006478F1" w:rsidRDefault="006478F1" w:rsidP="006478F1">
      <w:pPr>
        <w:pStyle w:val="Akapitzlist"/>
        <w:numPr>
          <w:ilvl w:val="0"/>
          <w:numId w:val="1"/>
        </w:numPr>
        <w:spacing w:after="0"/>
        <w:rPr>
          <w:rFonts w:ascii="Titillium Web" w:hAnsi="Titillium Web"/>
          <w:b/>
          <w:bCs/>
          <w:sz w:val="20"/>
          <w:szCs w:val="20"/>
        </w:rPr>
      </w:pPr>
      <w:r w:rsidRPr="006478F1">
        <w:rPr>
          <w:rFonts w:ascii="Titillium Web" w:hAnsi="Titillium Web"/>
          <w:b/>
          <w:bCs/>
          <w:sz w:val="20"/>
          <w:szCs w:val="20"/>
        </w:rPr>
        <w:t>Procedury, planowanie i edukacj</w:t>
      </w:r>
      <w:r w:rsidR="00D53DFD">
        <w:rPr>
          <w:rFonts w:ascii="Titillium Web" w:hAnsi="Titillium Web"/>
          <w:b/>
          <w:bCs/>
          <w:sz w:val="20"/>
          <w:szCs w:val="20"/>
        </w:rPr>
        <w:t>a</w:t>
      </w:r>
      <w:r w:rsidRPr="006478F1">
        <w:rPr>
          <w:rFonts w:ascii="Titillium Web" w:hAnsi="Titillium Web"/>
          <w:b/>
          <w:bCs/>
          <w:sz w:val="20"/>
          <w:szCs w:val="20"/>
        </w:rPr>
        <w:t xml:space="preserve"> ekologiczn</w:t>
      </w:r>
      <w:r w:rsidR="00D53DFD">
        <w:rPr>
          <w:rFonts w:ascii="Titillium Web" w:hAnsi="Titillium Web"/>
          <w:b/>
          <w:bCs/>
          <w:sz w:val="20"/>
          <w:szCs w:val="20"/>
        </w:rPr>
        <w:t>a</w:t>
      </w:r>
    </w:p>
    <w:p w14:paraId="5E2FB04C" w14:textId="4B12F4B7" w:rsidR="006478F1" w:rsidRPr="006478F1" w:rsidRDefault="007B62D5" w:rsidP="006478F1">
      <w:pPr>
        <w:pStyle w:val="Akapitzlist"/>
        <w:spacing w:after="0"/>
        <w:rPr>
          <w:rFonts w:ascii="Titillium Web" w:hAnsi="Titillium Web"/>
          <w:i/>
          <w:iCs/>
          <w:sz w:val="20"/>
          <w:szCs w:val="20"/>
        </w:rPr>
      </w:pPr>
      <w:r>
        <w:rPr>
          <w:rFonts w:ascii="Titillium Web" w:hAnsi="Titillium Web"/>
          <w:i/>
          <w:iCs/>
          <w:sz w:val="20"/>
          <w:szCs w:val="20"/>
        </w:rPr>
        <w:t xml:space="preserve">Ogólne Plany Zagospodarowania Przestrzennego – jak znaleźć porozumienie pomiędzy mieszkańcem a instalacją komunalną, brak </w:t>
      </w:r>
      <w:r w:rsidR="005A7EE7">
        <w:rPr>
          <w:rFonts w:ascii="Titillium Web" w:hAnsi="Titillium Web"/>
          <w:i/>
          <w:iCs/>
          <w:sz w:val="20"/>
          <w:szCs w:val="20"/>
        </w:rPr>
        <w:t xml:space="preserve">lokalizacji dla </w:t>
      </w:r>
      <w:r>
        <w:rPr>
          <w:rFonts w:ascii="Titillium Web" w:hAnsi="Titillium Web"/>
          <w:i/>
          <w:iCs/>
          <w:sz w:val="20"/>
          <w:szCs w:val="20"/>
        </w:rPr>
        <w:t>now</w:t>
      </w:r>
      <w:r w:rsidR="005A7EE7">
        <w:rPr>
          <w:rFonts w:ascii="Titillium Web" w:hAnsi="Titillium Web"/>
          <w:i/>
          <w:iCs/>
          <w:sz w:val="20"/>
          <w:szCs w:val="20"/>
        </w:rPr>
        <w:t xml:space="preserve">ych </w:t>
      </w:r>
      <w:r>
        <w:rPr>
          <w:rFonts w:ascii="Titillium Web" w:hAnsi="Titillium Web"/>
          <w:i/>
          <w:iCs/>
          <w:sz w:val="20"/>
          <w:szCs w:val="20"/>
        </w:rPr>
        <w:t>inwestycj</w:t>
      </w:r>
      <w:r w:rsidR="005A7EE7">
        <w:rPr>
          <w:rFonts w:ascii="Titillium Web" w:hAnsi="Titillium Web"/>
          <w:i/>
          <w:iCs/>
          <w:sz w:val="20"/>
          <w:szCs w:val="20"/>
        </w:rPr>
        <w:t>i</w:t>
      </w:r>
      <w:r w:rsidR="00972EB3">
        <w:rPr>
          <w:rFonts w:ascii="Titillium Web" w:hAnsi="Titillium Web"/>
          <w:i/>
          <w:iCs/>
          <w:sz w:val="20"/>
          <w:szCs w:val="20"/>
        </w:rPr>
        <w:t xml:space="preserve"> oraz wzmożony brak akceptacji dla ich realizacji.</w:t>
      </w:r>
    </w:p>
    <w:p w14:paraId="5C1A72AC" w14:textId="77777777" w:rsidR="006478F1" w:rsidRPr="006478F1" w:rsidRDefault="006478F1" w:rsidP="006478F1">
      <w:pPr>
        <w:spacing w:after="0"/>
        <w:rPr>
          <w:rFonts w:ascii="Titillium Web" w:hAnsi="Titillium Web"/>
          <w:sz w:val="20"/>
          <w:szCs w:val="20"/>
        </w:rPr>
      </w:pPr>
    </w:p>
    <w:p w14:paraId="7DAE0812" w14:textId="77777777" w:rsidR="006478F1" w:rsidRPr="006478F1" w:rsidRDefault="006478F1" w:rsidP="006478F1">
      <w:pPr>
        <w:spacing w:after="0"/>
        <w:rPr>
          <w:rFonts w:ascii="Titillium Web" w:hAnsi="Titillium Web"/>
          <w:b/>
          <w:bCs/>
          <w:sz w:val="20"/>
          <w:szCs w:val="20"/>
        </w:rPr>
      </w:pPr>
      <w:r w:rsidRPr="006478F1">
        <w:rPr>
          <w:rFonts w:ascii="Titillium Web" w:hAnsi="Titillium Web"/>
          <w:b/>
          <w:bCs/>
          <w:sz w:val="20"/>
          <w:szCs w:val="20"/>
        </w:rPr>
        <w:t>Specjalnie dla jednostek samorządu terytorialnego przygotowaliśmy promocyjną cenę uczestnictwa – 1200 zł netto.</w:t>
      </w:r>
    </w:p>
    <w:p w14:paraId="7718B478" w14:textId="67C68652" w:rsidR="00E756E0" w:rsidRDefault="006478F1" w:rsidP="006478F1">
      <w:pPr>
        <w:spacing w:after="0"/>
        <w:rPr>
          <w:rFonts w:ascii="Titillium Web" w:hAnsi="Titillium Web"/>
          <w:sz w:val="20"/>
          <w:szCs w:val="20"/>
        </w:rPr>
      </w:pPr>
      <w:r w:rsidRPr="006478F1">
        <w:rPr>
          <w:rFonts w:ascii="Titillium Web" w:hAnsi="Titillium Web"/>
          <w:sz w:val="20"/>
          <w:szCs w:val="20"/>
        </w:rPr>
        <w:t>Serdecznie zapraszamy do udziału w wydarzeniu, które od niemal trzech dekad łączy samorządy i branżę w dyskusji o przyszłości ochrony środowiska.</w:t>
      </w:r>
    </w:p>
    <w:p w14:paraId="2D577224" w14:textId="77777777" w:rsidR="006478F1" w:rsidRPr="00F51802" w:rsidRDefault="006478F1" w:rsidP="006478F1">
      <w:pPr>
        <w:spacing w:after="0"/>
        <w:rPr>
          <w:rFonts w:ascii="Titillium Web" w:hAnsi="Titillium Web"/>
          <w:sz w:val="20"/>
          <w:szCs w:val="20"/>
        </w:rPr>
      </w:pPr>
    </w:p>
    <w:p w14:paraId="3229CC2D" w14:textId="088AB7B6" w:rsidR="00B43B00" w:rsidRPr="00B43B00" w:rsidRDefault="00E756E0" w:rsidP="00E756E0">
      <w:pPr>
        <w:spacing w:after="0"/>
        <w:jc w:val="both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>WIĘCEJ INFORMACJI NA</w:t>
      </w:r>
      <w:r w:rsidRPr="00F51802">
        <w:rPr>
          <w:rFonts w:ascii="Titillium Web" w:hAnsi="Titillium Web"/>
          <w:sz w:val="20"/>
          <w:szCs w:val="20"/>
        </w:rPr>
        <w:t xml:space="preserve">: </w:t>
      </w:r>
      <w:hyperlink r:id="rId6" w:history="1">
        <w:r w:rsidR="00B43B00" w:rsidRPr="003869D1">
          <w:rPr>
            <w:rStyle w:val="Hipercze"/>
            <w:rFonts w:ascii="Titillium Web" w:hAnsi="Titillium Web"/>
            <w:sz w:val="20"/>
            <w:szCs w:val="20"/>
          </w:rPr>
          <w:t>https://envicon.abrys.pl/</w:t>
        </w:r>
      </w:hyperlink>
      <w:r w:rsidR="00B43B00">
        <w:rPr>
          <w:rFonts w:ascii="Titillium Web" w:hAnsi="Titillium Web"/>
          <w:sz w:val="20"/>
          <w:szCs w:val="20"/>
        </w:rPr>
        <w:t xml:space="preserve"> </w:t>
      </w:r>
    </w:p>
    <w:p w14:paraId="1D0C2D05" w14:textId="2203955E" w:rsidR="00E84D1B" w:rsidRDefault="00E756E0" w:rsidP="00B43B00">
      <w:pPr>
        <w:spacing w:after="0"/>
        <w:rPr>
          <w:rFonts w:ascii="Titillium Web" w:hAnsi="Titillium Web"/>
          <w:sz w:val="20"/>
          <w:szCs w:val="20"/>
        </w:rPr>
      </w:pPr>
      <w:r w:rsidRPr="00F51802">
        <w:rPr>
          <w:rFonts w:ascii="Titillium Web" w:hAnsi="Titillium Web"/>
          <w:sz w:val="20"/>
          <w:szCs w:val="20"/>
        </w:rPr>
        <w:t>REJESTRACJA</w:t>
      </w:r>
      <w:r w:rsidR="00B43B00">
        <w:rPr>
          <w:rFonts w:ascii="Titillium Web" w:hAnsi="Titillium Web"/>
          <w:sz w:val="20"/>
          <w:szCs w:val="20"/>
        </w:rPr>
        <w:t xml:space="preserve"> STACJONARNA</w:t>
      </w:r>
      <w:r w:rsidRPr="00F51802">
        <w:rPr>
          <w:rFonts w:ascii="Titillium Web" w:hAnsi="Titillium Web"/>
          <w:sz w:val="20"/>
          <w:szCs w:val="20"/>
        </w:rPr>
        <w:t xml:space="preserve">: </w:t>
      </w:r>
      <w:hyperlink r:id="rId7" w:history="1">
        <w:r w:rsidR="00B43B00" w:rsidRPr="003869D1">
          <w:rPr>
            <w:rStyle w:val="Hipercze"/>
            <w:rFonts w:ascii="Titillium Web" w:hAnsi="Titillium Web"/>
            <w:sz w:val="20"/>
            <w:szCs w:val="20"/>
          </w:rPr>
          <w:t>https://envicon2025.konfeo.com/pl/groups</w:t>
        </w:r>
      </w:hyperlink>
      <w:r w:rsidR="00B43B00">
        <w:rPr>
          <w:rFonts w:ascii="Titillium Web" w:hAnsi="Titillium Web"/>
          <w:sz w:val="20"/>
          <w:szCs w:val="20"/>
        </w:rPr>
        <w:t xml:space="preserve"> </w:t>
      </w:r>
    </w:p>
    <w:p w14:paraId="68D87D00" w14:textId="30680F54" w:rsidR="00512F0F" w:rsidRPr="006478F1" w:rsidRDefault="00B43B00" w:rsidP="006478F1">
      <w:pPr>
        <w:spacing w:after="0"/>
        <w:rPr>
          <w:rFonts w:ascii="Titillium Web" w:hAnsi="Titillium Web"/>
          <w:sz w:val="20"/>
          <w:szCs w:val="20"/>
        </w:rPr>
      </w:pPr>
      <w:r>
        <w:rPr>
          <w:rFonts w:ascii="Titillium Web" w:hAnsi="Titillium Web"/>
          <w:sz w:val="20"/>
          <w:szCs w:val="20"/>
        </w:rPr>
        <w:t xml:space="preserve">REJESTRACJA ONLINE: </w:t>
      </w:r>
      <w:hyperlink r:id="rId8" w:history="1">
        <w:r w:rsidRPr="003869D1">
          <w:rPr>
            <w:rStyle w:val="Hipercze"/>
            <w:rFonts w:ascii="Titillium Web" w:hAnsi="Titillium Web"/>
            <w:sz w:val="20"/>
            <w:szCs w:val="20"/>
          </w:rPr>
          <w:t>https://envicononline2025.konfeo.com/pl/groups</w:t>
        </w:r>
      </w:hyperlink>
      <w:r>
        <w:rPr>
          <w:rFonts w:ascii="Titillium Web" w:hAnsi="Titillium Web"/>
          <w:sz w:val="20"/>
          <w:szCs w:val="20"/>
        </w:rPr>
        <w:t xml:space="preserve"> </w:t>
      </w:r>
    </w:p>
    <w:sectPr w:rsidR="00512F0F" w:rsidRPr="006478F1" w:rsidSect="00D40CC5">
      <w:pgSz w:w="11906" w:h="16838" w:code="9"/>
      <w:pgMar w:top="720" w:right="720" w:bottom="720" w:left="720" w:header="709" w:footer="709" w:gutter="0"/>
      <w:paperSrc w:first="14" w:other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Titillium Web">
    <w:altName w:val="Calibri"/>
    <w:charset w:val="EE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50710"/>
    <w:multiLevelType w:val="hybridMultilevel"/>
    <w:tmpl w:val="345AB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93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E0"/>
    <w:rsid w:val="000A6507"/>
    <w:rsid w:val="001C0F73"/>
    <w:rsid w:val="001C31A5"/>
    <w:rsid w:val="001C5325"/>
    <w:rsid w:val="002105F8"/>
    <w:rsid w:val="003763FC"/>
    <w:rsid w:val="00441CEA"/>
    <w:rsid w:val="00512F0F"/>
    <w:rsid w:val="005A7EE7"/>
    <w:rsid w:val="005B7786"/>
    <w:rsid w:val="006030F4"/>
    <w:rsid w:val="006478F1"/>
    <w:rsid w:val="00715353"/>
    <w:rsid w:val="00737A8E"/>
    <w:rsid w:val="00760A5B"/>
    <w:rsid w:val="007B62D5"/>
    <w:rsid w:val="00810D5A"/>
    <w:rsid w:val="00844978"/>
    <w:rsid w:val="00865B4E"/>
    <w:rsid w:val="00885E5F"/>
    <w:rsid w:val="008E4057"/>
    <w:rsid w:val="00972EB3"/>
    <w:rsid w:val="009D0160"/>
    <w:rsid w:val="00A31229"/>
    <w:rsid w:val="00B43B00"/>
    <w:rsid w:val="00BE65AF"/>
    <w:rsid w:val="00BF219E"/>
    <w:rsid w:val="00BF34CC"/>
    <w:rsid w:val="00CA4A8E"/>
    <w:rsid w:val="00CD0633"/>
    <w:rsid w:val="00D40CC5"/>
    <w:rsid w:val="00D53DFD"/>
    <w:rsid w:val="00D93A09"/>
    <w:rsid w:val="00E756E0"/>
    <w:rsid w:val="00E84D1B"/>
    <w:rsid w:val="00F9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D3ED"/>
  <w15:chartTrackingRefBased/>
  <w15:docId w15:val="{1FBF1B9E-CA88-4D0D-91AC-06DF06E1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6E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56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5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56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5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5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5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5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56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56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56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56E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56E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56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56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56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56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5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5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5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5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56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5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56E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56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56E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56E0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756E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E65AF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1A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B7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vicononline2025.konfeo.com/pl/grou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vicon2025.konfeo.com/pl/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vicon.abrys.pl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Wyszyński</dc:creator>
  <cp:keywords/>
  <dc:description/>
  <cp:lastModifiedBy>abrys-office03</cp:lastModifiedBy>
  <cp:revision>2</cp:revision>
  <cp:lastPrinted>2025-10-24T09:43:00Z</cp:lastPrinted>
  <dcterms:created xsi:type="dcterms:W3CDTF">2025-10-24T13:02:00Z</dcterms:created>
  <dcterms:modified xsi:type="dcterms:W3CDTF">2025-10-24T13:02:00Z</dcterms:modified>
</cp:coreProperties>
</file>